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850D9E" w:rsidRPr="00850D9E" w:rsidRDefault="00850D9E" w:rsidP="00850D9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 w:rsidRPr="00850D9E">
        <w:rPr>
          <w:b/>
          <w:bCs/>
          <w:color w:val="000000"/>
          <w:lang w:eastAsia="ru-RU"/>
        </w:rPr>
        <w:t>Большинство услуг ПФР можно получить дистанционно, не выходя из дома</w:t>
      </w:r>
      <w:bookmarkEnd w:id="0"/>
      <w:r w:rsidRPr="00850D9E">
        <w:rPr>
          <w:b/>
          <w:bCs/>
          <w:color w:val="000000"/>
          <w:lang w:eastAsia="ru-RU"/>
        </w:rPr>
        <w:t>!</w:t>
      </w:r>
    </w:p>
    <w:p w:rsidR="00850D9E" w:rsidRPr="00850D9E" w:rsidRDefault="00850D9E" w:rsidP="00850D9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850D9E" w:rsidRPr="00850D9E" w:rsidRDefault="00850D9E" w:rsidP="00850D9E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850D9E">
        <w:rPr>
          <w:bCs/>
          <w:color w:val="000000"/>
          <w:lang w:eastAsia="ru-RU"/>
        </w:rPr>
        <w:t>Отделение Пенсионного фонда по Санкт-Петербургу и Ленинградской области напоминает о возможности получения услуг ПФР в электронном виде и призывает молодежь помогать старшему поколению в освоении электронных сервисов ПФР.</w:t>
      </w:r>
    </w:p>
    <w:p w:rsidR="00850D9E" w:rsidRPr="00850D9E" w:rsidRDefault="00850D9E" w:rsidP="00850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50D9E" w:rsidRPr="00850D9E" w:rsidRDefault="00850D9E" w:rsidP="00850D9E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850D9E">
        <w:rPr>
          <w:bCs/>
          <w:color w:val="000000"/>
          <w:lang w:eastAsia="ru-RU"/>
        </w:rPr>
        <w:t xml:space="preserve">Для использования услуг Пенсионного фонда дистанционно необходима регистрация на Едином портале государственных услуг. Граждане, имеющие подтвержденную учетную запись на портале </w:t>
      </w:r>
      <w:proofErr w:type="spellStart"/>
      <w:r w:rsidRPr="00850D9E">
        <w:rPr>
          <w:bCs/>
          <w:color w:val="000000"/>
          <w:lang w:eastAsia="ru-RU"/>
        </w:rPr>
        <w:t>госуслуг</w:t>
      </w:r>
      <w:proofErr w:type="spellEnd"/>
      <w:r w:rsidRPr="00850D9E">
        <w:rPr>
          <w:bCs/>
          <w:color w:val="000000"/>
          <w:lang w:eastAsia="ru-RU"/>
        </w:rPr>
        <w:t>, получают возможность доступа в «Личный кабинет гражданина» на сайте ПФР.</w:t>
      </w:r>
    </w:p>
    <w:p w:rsidR="00850D9E" w:rsidRPr="00850D9E" w:rsidRDefault="00850D9E" w:rsidP="00850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50D9E" w:rsidRPr="00850D9E" w:rsidRDefault="00850D9E" w:rsidP="00850D9E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850D9E">
        <w:rPr>
          <w:bCs/>
          <w:color w:val="000000"/>
          <w:lang w:eastAsia="ru-RU"/>
        </w:rPr>
        <w:t>Получить подтвержденную учетную запись с полным доступом к электронным государственным услугам можно четырьмя способами:</w:t>
      </w:r>
    </w:p>
    <w:p w:rsidR="00850D9E" w:rsidRPr="00850D9E" w:rsidRDefault="00850D9E" w:rsidP="00850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50D9E" w:rsidRPr="00850D9E" w:rsidRDefault="00850D9E" w:rsidP="00850D9E">
      <w:pPr>
        <w:pStyle w:val="af9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850D9E">
        <w:rPr>
          <w:bCs/>
          <w:color w:val="000000"/>
          <w:lang w:eastAsia="ru-RU"/>
        </w:rPr>
        <w:t xml:space="preserve">лично, посетив один из Центров </w:t>
      </w:r>
      <w:proofErr w:type="gramStart"/>
      <w:r w:rsidRPr="00850D9E">
        <w:rPr>
          <w:bCs/>
          <w:color w:val="000000"/>
          <w:lang w:eastAsia="ru-RU"/>
        </w:rPr>
        <w:t>обслуживания(</w:t>
      </w:r>
      <w:proofErr w:type="gramEnd"/>
      <w:r w:rsidRPr="00850D9E">
        <w:rPr>
          <w:bCs/>
          <w:color w:val="000000"/>
          <w:lang w:eastAsia="ru-RU"/>
        </w:rPr>
        <w:t>к которым также относятся все территориальные Управления ПФР по Санкт-Петербургу и Ленинградской области) с паспортом и СНИЛС;</w:t>
      </w:r>
    </w:p>
    <w:p w:rsidR="00850D9E" w:rsidRPr="00850D9E" w:rsidRDefault="00850D9E" w:rsidP="00850D9E">
      <w:pPr>
        <w:pStyle w:val="af9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850D9E">
        <w:rPr>
          <w:bCs/>
          <w:color w:val="000000"/>
          <w:lang w:eastAsia="ru-RU"/>
        </w:rPr>
        <w:t>почтой, заказав из профиля код подтверждения личности по Почте России;</w:t>
      </w:r>
    </w:p>
    <w:p w:rsidR="00850D9E" w:rsidRPr="00850D9E" w:rsidRDefault="00850D9E" w:rsidP="00850D9E">
      <w:pPr>
        <w:pStyle w:val="af9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850D9E">
        <w:rPr>
          <w:bCs/>
          <w:color w:val="000000"/>
          <w:lang w:eastAsia="ru-RU"/>
        </w:rPr>
        <w:t>онлайн-банки— веб-версии и мобильные приложения Сбербанка, Тинькофф Банка, Почта Банка (при условии, что вы клиент банка, в котором собираетесь подтверждать учётную запись);</w:t>
      </w:r>
    </w:p>
    <w:p w:rsidR="00850D9E" w:rsidRPr="00850D9E" w:rsidRDefault="00850D9E" w:rsidP="00850D9E">
      <w:pPr>
        <w:pStyle w:val="af9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850D9E">
        <w:rPr>
          <w:bCs/>
          <w:color w:val="000000"/>
          <w:lang w:eastAsia="ru-RU"/>
        </w:rPr>
        <w:t>электронной подписью— можно использовать Квалифицированную электронную подпись (КЭП) или Универсальную электронную карту (УЭК).</w:t>
      </w:r>
    </w:p>
    <w:p w:rsidR="00850D9E" w:rsidRDefault="00850D9E" w:rsidP="00850D9E">
      <w:pPr>
        <w:suppressAutoHyphens w:val="0"/>
        <w:autoSpaceDE w:val="0"/>
        <w:autoSpaceDN w:val="0"/>
        <w:adjustRightInd w:val="0"/>
        <w:ind w:firstLine="360"/>
        <w:jc w:val="both"/>
        <w:rPr>
          <w:bCs/>
          <w:color w:val="000000"/>
          <w:lang w:eastAsia="ru-RU"/>
        </w:rPr>
      </w:pPr>
    </w:p>
    <w:p w:rsidR="00850D9E" w:rsidRPr="00850D9E" w:rsidRDefault="00850D9E" w:rsidP="00850D9E">
      <w:pPr>
        <w:suppressAutoHyphens w:val="0"/>
        <w:autoSpaceDE w:val="0"/>
        <w:autoSpaceDN w:val="0"/>
        <w:adjustRightInd w:val="0"/>
        <w:ind w:firstLine="360"/>
        <w:jc w:val="both"/>
        <w:rPr>
          <w:bCs/>
          <w:color w:val="000000"/>
          <w:lang w:eastAsia="ru-RU"/>
        </w:rPr>
      </w:pPr>
      <w:r w:rsidRPr="00850D9E">
        <w:rPr>
          <w:bCs/>
          <w:color w:val="000000"/>
          <w:lang w:eastAsia="ru-RU"/>
        </w:rPr>
        <w:t>Однако ряд услуг «Личного кабинета гражданина» доступны без регистрации. Например, записаться на прием в Пенсионный фонд, направить обращение, сделать предварительный заказ документов или справок, рассчитать примерный размер будущей пенсии с помощью пенсионного калькулятора и другие.</w:t>
      </w:r>
    </w:p>
    <w:p w:rsidR="00850D9E" w:rsidRPr="00850D9E" w:rsidRDefault="00850D9E" w:rsidP="00850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053C38" w:rsidRPr="00850D9E" w:rsidRDefault="00850D9E" w:rsidP="00850D9E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lang w:eastAsia="ru-RU"/>
        </w:rPr>
      </w:pPr>
      <w:r w:rsidRPr="00850D9E">
        <w:rPr>
          <w:bCs/>
          <w:color w:val="000000"/>
          <w:lang w:eastAsia="ru-RU"/>
        </w:rPr>
        <w:t xml:space="preserve">Для быстрого и лёгкого доступа к услугам ПФР также было создано бесплатное мобильное приложение Пенсионного фонда. Оно доступно на платформах </w:t>
      </w:r>
      <w:proofErr w:type="spellStart"/>
      <w:r w:rsidRPr="00850D9E">
        <w:rPr>
          <w:bCs/>
          <w:color w:val="000000"/>
          <w:lang w:eastAsia="ru-RU"/>
        </w:rPr>
        <w:t>iOS</w:t>
      </w:r>
      <w:proofErr w:type="spellEnd"/>
      <w:r w:rsidRPr="00850D9E">
        <w:rPr>
          <w:bCs/>
          <w:color w:val="000000"/>
          <w:lang w:eastAsia="ru-RU"/>
        </w:rPr>
        <w:t xml:space="preserve"> и </w:t>
      </w:r>
      <w:proofErr w:type="spellStart"/>
      <w:r w:rsidRPr="00850D9E">
        <w:rPr>
          <w:bCs/>
          <w:color w:val="000000"/>
          <w:lang w:eastAsia="ru-RU"/>
        </w:rPr>
        <w:t>Android</w:t>
      </w:r>
      <w:proofErr w:type="spellEnd"/>
      <w:r w:rsidRPr="00850D9E">
        <w:rPr>
          <w:bCs/>
          <w:color w:val="000000"/>
          <w:lang w:eastAsia="ru-RU"/>
        </w:rPr>
        <w:t xml:space="preserve">. Для начала работы в нем необходимо пройти авторизацию с помощью подтвержденной учетной записи на Едином портале </w:t>
      </w:r>
      <w:proofErr w:type="spellStart"/>
      <w:r w:rsidRPr="00850D9E">
        <w:rPr>
          <w:bCs/>
          <w:color w:val="000000"/>
          <w:lang w:eastAsia="ru-RU"/>
        </w:rPr>
        <w:t>госуслуг</w:t>
      </w:r>
      <w:proofErr w:type="spellEnd"/>
      <w:r w:rsidRPr="00850D9E">
        <w:rPr>
          <w:bCs/>
          <w:color w:val="000000"/>
          <w:lang w:eastAsia="ru-RU"/>
        </w:rPr>
        <w:t xml:space="preserve">, а также задать четырехзначный </w:t>
      </w:r>
      <w:proofErr w:type="spellStart"/>
      <w:r w:rsidRPr="00850D9E">
        <w:rPr>
          <w:bCs/>
          <w:color w:val="000000"/>
          <w:lang w:eastAsia="ru-RU"/>
        </w:rPr>
        <w:t>пин</w:t>
      </w:r>
      <w:proofErr w:type="spellEnd"/>
      <w:r w:rsidRPr="00850D9E">
        <w:rPr>
          <w:bCs/>
          <w:color w:val="000000"/>
          <w:lang w:eastAsia="ru-RU"/>
        </w:rPr>
        <w:t>-код, с помощью которого в дальнейшем будет осуществляться вход в приложение.</w:t>
      </w:r>
    </w:p>
    <w:sectPr w:rsidR="00053C38" w:rsidRPr="00850D9E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9E" w:rsidRDefault="00E41F9E">
      <w:r>
        <w:separator/>
      </w:r>
    </w:p>
  </w:endnote>
  <w:endnote w:type="continuationSeparator" w:id="0">
    <w:p w:rsidR="00E41F9E" w:rsidRDefault="00E4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A5DE3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9E" w:rsidRDefault="00E41F9E">
      <w:r>
        <w:separator/>
      </w:r>
    </w:p>
  </w:footnote>
  <w:footnote w:type="continuationSeparator" w:id="0">
    <w:p w:rsidR="00E41F9E" w:rsidRDefault="00E4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53E0A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E14796"/>
    <w:multiLevelType w:val="hybridMultilevel"/>
    <w:tmpl w:val="63D2F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C602C"/>
    <w:multiLevelType w:val="hybridMultilevel"/>
    <w:tmpl w:val="373EB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78283B"/>
    <w:multiLevelType w:val="hybridMultilevel"/>
    <w:tmpl w:val="42D0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3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6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1"/>
  </w:num>
  <w:num w:numId="24">
    <w:abstractNumId w:val="47"/>
  </w:num>
  <w:num w:numId="25">
    <w:abstractNumId w:val="24"/>
  </w:num>
  <w:num w:numId="26">
    <w:abstractNumId w:val="4"/>
  </w:num>
  <w:num w:numId="27">
    <w:abstractNumId w:val="20"/>
  </w:num>
  <w:num w:numId="28">
    <w:abstractNumId w:val="45"/>
  </w:num>
  <w:num w:numId="29">
    <w:abstractNumId w:val="10"/>
  </w:num>
  <w:num w:numId="30">
    <w:abstractNumId w:val="42"/>
  </w:num>
  <w:num w:numId="31">
    <w:abstractNumId w:val="35"/>
  </w:num>
  <w:num w:numId="32">
    <w:abstractNumId w:val="5"/>
  </w:num>
  <w:num w:numId="33">
    <w:abstractNumId w:val="21"/>
  </w:num>
  <w:num w:numId="34">
    <w:abstractNumId w:val="32"/>
  </w:num>
  <w:num w:numId="35">
    <w:abstractNumId w:val="26"/>
  </w:num>
  <w:num w:numId="36">
    <w:abstractNumId w:val="46"/>
  </w:num>
  <w:num w:numId="37">
    <w:abstractNumId w:val="41"/>
  </w:num>
  <w:num w:numId="38">
    <w:abstractNumId w:val="43"/>
  </w:num>
  <w:num w:numId="39">
    <w:abstractNumId w:val="40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4"/>
  </w:num>
  <w:num w:numId="45">
    <w:abstractNumId w:val="23"/>
  </w:num>
  <w:num w:numId="46">
    <w:abstractNumId w:val="44"/>
  </w:num>
  <w:num w:numId="47">
    <w:abstractNumId w:val="37"/>
  </w:num>
  <w:num w:numId="48">
    <w:abstractNumId w:val="13"/>
  </w:num>
  <w:num w:numId="49">
    <w:abstractNumId w:val="3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1F9E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FD0A-71F6-44FF-BFAF-573EB653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2020-04-23T19:05:00Z</dcterms:created>
  <dcterms:modified xsi:type="dcterms:W3CDTF">2020-04-23T19:05:00Z</dcterms:modified>
</cp:coreProperties>
</file>