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B" w:rsidRPr="00575BDB" w:rsidRDefault="00575BDB" w:rsidP="00575BDB">
      <w:pPr>
        <w:shd w:val="clear" w:color="auto" w:fill="FAFAFA"/>
        <w:spacing w:after="0" w:line="240" w:lineRule="auto"/>
        <w:ind w:firstLine="425"/>
        <w:outlineLvl w:val="3"/>
        <w:rPr>
          <w:rFonts w:ascii="PTSansRegular" w:eastAsia="Times New Roman" w:hAnsi="PTSansRegular" w:cs="Times New Roman"/>
          <w:b/>
          <w:bCs/>
          <w:color w:val="313945"/>
          <w:sz w:val="24"/>
          <w:szCs w:val="24"/>
          <w:lang w:eastAsia="ru-RU"/>
        </w:rPr>
      </w:pPr>
      <w:r w:rsidRPr="00575BDB">
        <w:rPr>
          <w:rFonts w:ascii="PTSansRegular" w:eastAsia="Times New Roman" w:hAnsi="PTSansRegular" w:cs="Times New Roman"/>
          <w:b/>
          <w:bCs/>
          <w:color w:val="313945"/>
          <w:sz w:val="24"/>
          <w:szCs w:val="24"/>
          <w:lang w:eastAsia="ru-RU"/>
        </w:rPr>
        <w:t>ГРАЖДАНСКАЯ ОБОРОНА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center"/>
        <w:outlineLvl w:val="3"/>
        <w:rPr>
          <w:rFonts w:ascii="PTSansRegular" w:eastAsia="Times New Roman" w:hAnsi="PTSansRegular" w:cs="Times New Roman"/>
          <w:b/>
          <w:bCs/>
          <w:color w:val="313945"/>
          <w:sz w:val="24"/>
          <w:szCs w:val="24"/>
          <w:lang w:eastAsia="ru-RU"/>
        </w:rPr>
      </w:pPr>
      <w:r w:rsidRPr="00AD0716">
        <w:rPr>
          <w:rFonts w:ascii="PTSansRegular" w:eastAsia="Times New Roman" w:hAnsi="PTSansRegular" w:cs="Times New Roman"/>
          <w:b/>
          <w:bCs/>
          <w:color w:val="313945"/>
          <w:sz w:val="24"/>
          <w:szCs w:val="24"/>
          <w:lang w:eastAsia="ru-RU"/>
        </w:rPr>
        <w:t>Экскурс в историю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Это организация по подготовке к защите и по защите населения от опасностей, возникающих при ведении военных действий или вследствие этих действий, берет свое начало в России со времен первой мировой войны (1914-1918 гг.),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населенным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налетами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Однако не только появление авиации, но и еще одно очень важное событие, происшедшее в период первой мировой войны, заставило правительства и генеральные штабы воюющих сторон всерьез задуматься над проблемой обеспечения безопасности тыла. Оно во много определило характер и направления развития системы мероприятий по защите населения в последующие годы. Этим событием было применение 22 апреля 1915 года, в ходе боевых действий, химического оружия.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4-го октября 1932 года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 противовоздушной обороны СССР (МПВО СССР), предназначенной для защиты населения страны от воздушного нападения противника. В связи с этим 4 октября 1932 года принято считать днем рождения местной противовоздушной обороны — основы будущей системы Гражданской обороны.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На сегодняшний день роль гражданской обороны в системе оборонных мероприятий определяется характером войны, и, прежде всего уровнем развития средств вооруженной борьбы, которые могут применяться в ходе военных конфликтов.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Чем выше боевые возможности этих средств, а, следовательно, и опаснее последствия их применения, тем более важной становится роль гражданской обороны в обеспечении защиты населения и тыла страны.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Эта роль с предельной полнотой раскрывается в задачах гражданской обороны, объем которых в зависимости от условий обстановки может изменяться как по содержанию, так и по способам их выполнения.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center"/>
        <w:outlineLvl w:val="3"/>
        <w:rPr>
          <w:rFonts w:ascii="PTSansRegular" w:eastAsia="Times New Roman" w:hAnsi="PTSansRegular" w:cs="Times New Roman"/>
          <w:b/>
          <w:bCs/>
          <w:color w:val="313945"/>
          <w:sz w:val="24"/>
          <w:szCs w:val="24"/>
          <w:lang w:eastAsia="ru-RU"/>
        </w:rPr>
      </w:pPr>
      <w:r w:rsidRPr="00AD0716">
        <w:rPr>
          <w:rFonts w:ascii="PTSansRegular" w:eastAsia="Times New Roman" w:hAnsi="PTSansRegular" w:cs="Times New Roman"/>
          <w:b/>
          <w:bCs/>
          <w:color w:val="313945"/>
          <w:sz w:val="24"/>
          <w:szCs w:val="24"/>
          <w:lang w:eastAsia="ru-RU"/>
        </w:rPr>
        <w:t>Основные задачи в области гражданской обороны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575BDB">
        <w:rPr>
          <w:rFonts w:ascii="PTSansBold" w:eastAsia="Times New Roman" w:hAnsi="PTSansBold" w:cs="Times New Roman"/>
          <w:i/>
          <w:iCs/>
          <w:sz w:val="24"/>
          <w:szCs w:val="24"/>
          <w:u w:val="single"/>
          <w:lang w:eastAsia="ru-RU"/>
        </w:rPr>
        <w:t>Согласно Федеральному закону РФ от 12.02.1998 № 28-ФЗ «О гражданской обороне», являются: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обучение населения в области гражданской обороны;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hyperlink r:id="rId5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эвакуация населения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, материальных и культурных ценностей в безопасные районы;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hyperlink r:id="rId6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предоставление населению убежищ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 xml:space="preserve"> и </w:t>
      </w:r>
      <w:hyperlink r:id="rId7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средств индивидуальной защиты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; проведение мероприятий по световой маскировке и другим видам маскировки;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hyperlink r:id="rId8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проведение аварийно-спасательных работ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 xml:space="preserve">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lastRenderedPageBreak/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hyperlink r:id="rId9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борьба с пожарами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, возникшими при ведении военных действий или вследствие этих действий;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 xml:space="preserve"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</w:t>
      </w:r>
      <w:hyperlink r:id="rId10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природного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 xml:space="preserve"> и </w:t>
      </w:r>
      <w:hyperlink r:id="rId11" w:tgtFrame="_blank" w:history="1">
        <w:r w:rsidRPr="00AD0716">
          <w:rPr>
            <w:rFonts w:ascii="PTSansBold" w:eastAsia="Times New Roman" w:hAnsi="PTSansBold" w:cs="Times New Roman"/>
            <w:color w:val="4692D8"/>
            <w:sz w:val="24"/>
            <w:szCs w:val="24"/>
            <w:u w:val="single"/>
            <w:lang w:eastAsia="ru-RU"/>
          </w:rPr>
          <w:t>техногенного характера</w:t>
        </w:r>
      </w:hyperlink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срочное захоронение трупов в военное время;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AD0716" w:rsidRPr="00AD0716" w:rsidRDefault="00AD0716" w:rsidP="00575BDB">
      <w:pPr>
        <w:numPr>
          <w:ilvl w:val="0"/>
          <w:numId w:val="1"/>
        </w:numPr>
        <w:shd w:val="clear" w:color="auto" w:fill="FAFAFA"/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обеспечение постоянной готовности сил и сре</w:t>
      </w:r>
      <w:proofErr w:type="gramStart"/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дств гр</w:t>
      </w:r>
      <w:proofErr w:type="gramEnd"/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ажданской обороны.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Выполнение задач ГО достигается проведением сложного комплекса организационных, инженерно-технических, медицинских, противорадиационных, противохимических, противопожарных и других мероприятий, а также действиями сил ГО, особенно при проведении аварийно-спасательных и других неотложных работ в очагах поражения и зонах катастрофического затопления.</w:t>
      </w:r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proofErr w:type="gramStart"/>
      <w:r w:rsidRPr="00575BDB">
        <w:rPr>
          <w:rFonts w:ascii="PTSansBold" w:eastAsia="Times New Roman" w:hAnsi="PTSansBold" w:cs="Times New Roman"/>
          <w:b/>
          <w:bCs/>
          <w:sz w:val="24"/>
          <w:szCs w:val="24"/>
          <w:u w:val="single"/>
          <w:lang w:eastAsia="ru-RU"/>
        </w:rPr>
        <w:t>Мероприятия по гражданской обороне</w:t>
      </w: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 xml:space="preserve"> – это организационные и специальные действия, осуществляемые в области гражданской обороны на всей территории страны на федеральном, региональном, муниципальном уровнях и в организациях в соответствии с нормативными правовыми актами Российской Федерации.</w:t>
      </w:r>
      <w:proofErr w:type="gramEnd"/>
    </w:p>
    <w:p w:rsidR="00AD0716" w:rsidRPr="00AD0716" w:rsidRDefault="00AD0716" w:rsidP="00575BDB">
      <w:pPr>
        <w:shd w:val="clear" w:color="auto" w:fill="FAFAFA"/>
        <w:spacing w:after="0" w:line="240" w:lineRule="auto"/>
        <w:ind w:firstLine="425"/>
        <w:jc w:val="both"/>
        <w:rPr>
          <w:rFonts w:ascii="PTSansBold" w:eastAsia="Times New Roman" w:hAnsi="PTSansBold" w:cs="Times New Roman"/>
          <w:sz w:val="24"/>
          <w:szCs w:val="24"/>
          <w:lang w:eastAsia="ru-RU"/>
        </w:rPr>
      </w:pPr>
      <w:r w:rsidRPr="00AD0716">
        <w:rPr>
          <w:rFonts w:ascii="PTSansBold" w:eastAsia="Times New Roman" w:hAnsi="PTSansBold" w:cs="Times New Roman"/>
          <w:sz w:val="24"/>
          <w:szCs w:val="24"/>
          <w:lang w:eastAsia="ru-RU"/>
        </w:rPr>
        <w:t>Выполнение этих мероприятий относится к числу важнейших социальных мер, направленных на обеспечение безопасной жизнедеятельности граждан, о которых мы и расскажем в этом разделе.</w:t>
      </w:r>
    </w:p>
    <w:p w:rsidR="00671E50" w:rsidRPr="00575BDB" w:rsidRDefault="00671E50" w:rsidP="00575BDB">
      <w:pPr>
        <w:spacing w:after="0" w:line="240" w:lineRule="auto"/>
        <w:ind w:firstLine="425"/>
        <w:rPr>
          <w:sz w:val="24"/>
          <w:szCs w:val="24"/>
        </w:rPr>
      </w:pPr>
    </w:p>
    <w:sectPr w:rsidR="00671E50" w:rsidRPr="00575BDB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4F23"/>
    <w:multiLevelType w:val="multilevel"/>
    <w:tmpl w:val="884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D0716"/>
    <w:rsid w:val="00471430"/>
    <w:rsid w:val="00575BDB"/>
    <w:rsid w:val="00671E50"/>
    <w:rsid w:val="00817296"/>
    <w:rsid w:val="00AD0716"/>
    <w:rsid w:val="00C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0716"/>
    <w:rPr>
      <w:i/>
      <w:iCs/>
    </w:rPr>
  </w:style>
  <w:style w:type="character" w:styleId="a4">
    <w:name w:val="Strong"/>
    <w:basedOn w:val="a0"/>
    <w:uiPriority w:val="22"/>
    <w:qFormat/>
    <w:rsid w:val="00AD0716"/>
    <w:rPr>
      <w:b/>
      <w:bCs/>
    </w:rPr>
  </w:style>
  <w:style w:type="paragraph" w:styleId="a5">
    <w:name w:val="Normal (Web)"/>
    <w:basedOn w:val="a"/>
    <w:uiPriority w:val="99"/>
    <w:semiHidden/>
    <w:unhideWhenUsed/>
    <w:rsid w:val="00AD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avariyno-i-poiskovo-spasatelnyie-rabotyi-v-usloviyah-zaval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reman.club/statyi-polzovateley/sovremennyie-protivogazy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ubezhishha-vidyi-klassifikatsiya-naznachenie/" TargetMode="External"/><Relationship Id="rId11" Type="http://schemas.openxmlformats.org/officeDocument/2006/relationships/hyperlink" Target="https://fireman.club/normative-documents/gost-22-0-05-97-gost-r-22-0-05-94-tehnogennyie-chs/" TargetMode="External"/><Relationship Id="rId5" Type="http://schemas.openxmlformats.org/officeDocument/2006/relationships/hyperlink" Target="https://fireman.club/inseklodepia/evakuaciya-i-otselenie-naseleniya/" TargetMode="External"/><Relationship Id="rId10" Type="http://schemas.openxmlformats.org/officeDocument/2006/relationships/hyperlink" Target="https://fireman.club/statyi-polzovateley/chrezvyichaynyie-situatsii-prirodnogo-proishozhdeniya-vidyi-i-klassifik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eman.club/inseklodepia/pozh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2019-02-08T08:02:00Z</dcterms:created>
  <dcterms:modified xsi:type="dcterms:W3CDTF">2019-02-08T08:04:00Z</dcterms:modified>
</cp:coreProperties>
</file>