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4C6D76" w:rsidRDefault="00775572" w:rsidP="00326532">
      <w:pPr>
        <w:pStyle w:val="a3"/>
        <w:spacing w:after="0"/>
        <w:jc w:val="center"/>
        <w:rPr>
          <w:b/>
        </w:rPr>
      </w:pPr>
      <w:r w:rsidRPr="004C6D76">
        <w:rPr>
          <w:b/>
        </w:rPr>
        <w:t>Пресс-релиз</w:t>
      </w:r>
    </w:p>
    <w:p w:rsidR="00AC1F84" w:rsidRDefault="00450B07" w:rsidP="00AC1F8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14</w:t>
      </w:r>
      <w:r w:rsidR="00326532" w:rsidRPr="00D3548B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августа</w:t>
      </w:r>
      <w:r w:rsidR="00C80741" w:rsidRPr="00D3548B">
        <w:rPr>
          <w:b/>
          <w:bCs/>
          <w:color w:val="000000"/>
          <w:lang w:eastAsia="ru-RU"/>
        </w:rPr>
        <w:t xml:space="preserve"> </w:t>
      </w:r>
      <w:r w:rsidR="007719A9" w:rsidRPr="00D3548B">
        <w:rPr>
          <w:b/>
          <w:bCs/>
          <w:color w:val="000000"/>
          <w:lang w:eastAsia="ru-RU"/>
        </w:rPr>
        <w:t>2019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5812E3">
        <w:rPr>
          <w:b/>
          <w:bCs/>
          <w:color w:val="000000" w:themeColor="text1"/>
        </w:rPr>
        <w:t>Пенсионные права за «</w:t>
      </w:r>
      <w:proofErr w:type="spellStart"/>
      <w:r w:rsidRPr="005812E3">
        <w:rPr>
          <w:b/>
          <w:bCs/>
          <w:color w:val="000000" w:themeColor="text1"/>
        </w:rPr>
        <w:t>нестраховые</w:t>
      </w:r>
      <w:proofErr w:type="spellEnd"/>
      <w:r w:rsidRPr="005812E3">
        <w:rPr>
          <w:b/>
          <w:bCs/>
          <w:color w:val="000000" w:themeColor="text1"/>
        </w:rPr>
        <w:t>» периоды</w:t>
      </w:r>
    </w:p>
    <w:p w:rsid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Помимо размера страховых взносов на обязательное пенсионное страхование, начисляемых работодателями, повлиять на возникновение права на трудовую пенсию, а также на её размер могут «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>» периоды, к примеру, - периоды ухода за детьми в возрасте до полутора лет или прохождения срочной службы в рядах Вооружённых сил.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5812E3">
        <w:rPr>
          <w:bCs/>
          <w:color w:val="000000" w:themeColor="text1"/>
        </w:rPr>
        <w:t>«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>» периоды - термин, широко применяемый в сфере пенсионного обеспечения, фактически означает наличие у гражданина, зарегистрированного в системе обязательного пенсионного страхования в качестве застрахованного лица, периодов, в течение которых за него не уплачивались страховые взносы, но которые при выполнении ряда условий могут наравне с периодами трудовой деятельности быть включёнными в страховой стаж, необходимый для приобретения права на трудовую пенсию.</w:t>
      </w:r>
      <w:proofErr w:type="gramEnd"/>
      <w:r w:rsidRPr="005812E3">
        <w:rPr>
          <w:bCs/>
          <w:color w:val="000000" w:themeColor="text1"/>
        </w:rPr>
        <w:t xml:space="preserve"> В настоящее время минимальная продолжительность страхового стажа составляет 5 лет, в 2015 году она составит 6 лет и до 2025 года путём ежегодного продления на 1 год будет доведена до 15 лет.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5812E3">
        <w:rPr>
          <w:bCs/>
          <w:color w:val="000000" w:themeColor="text1"/>
        </w:rPr>
        <w:t>В страховой стаж наравне с периодами трудовой деятельности могут быть засчитаны:  периоды прохождения военной службы по призыву, период ухода одного из родителей за каждым ребенком до достижения им возраста полутора лет (суммарной продолжительностью  – не более 4,5 лет); периоды ухода трудоспособного лица за инвалидом I группы, ребёнком – инвалидом или за лицом, достигшим возраста 80 лет;</w:t>
      </w:r>
      <w:proofErr w:type="gramEnd"/>
      <w:r w:rsidRPr="005812E3">
        <w:rPr>
          <w:bCs/>
          <w:color w:val="000000" w:themeColor="text1"/>
        </w:rPr>
        <w:t xml:space="preserve"> </w:t>
      </w:r>
      <w:proofErr w:type="gramStart"/>
      <w:r w:rsidRPr="005812E3">
        <w:rPr>
          <w:bCs/>
          <w:color w:val="000000" w:themeColor="text1"/>
        </w:rPr>
        <w:t>периоды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 (не более пяти лет в общей сложности); а также периоды проживания за границей супругов работников, направленных в консульские учреждения, дипломатические, торговые представительства Российской Федерации и представительства государственных органов РФ.</w:t>
      </w:r>
      <w:proofErr w:type="gramEnd"/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Условием включения этих периодов в страховой стаж является факт наличия предшествующих им или имевших место после них периодов осуществления трудовой деятельности.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Наличие «</w:t>
      </w:r>
      <w:proofErr w:type="spellStart"/>
      <w:r w:rsidRPr="005812E3">
        <w:rPr>
          <w:bCs/>
          <w:color w:val="000000" w:themeColor="text1"/>
        </w:rPr>
        <w:t>нестраховых</w:t>
      </w:r>
      <w:proofErr w:type="spellEnd"/>
      <w:r w:rsidRPr="005812E3">
        <w:rPr>
          <w:bCs/>
          <w:color w:val="000000" w:themeColor="text1"/>
        </w:rPr>
        <w:t xml:space="preserve">» периодов может повлиять не только на </w:t>
      </w:r>
      <w:proofErr w:type="gramStart"/>
      <w:r w:rsidRPr="005812E3">
        <w:rPr>
          <w:bCs/>
          <w:color w:val="000000" w:themeColor="text1"/>
        </w:rPr>
        <w:t>право</w:t>
      </w:r>
      <w:proofErr w:type="gramEnd"/>
      <w:r w:rsidRPr="005812E3">
        <w:rPr>
          <w:bCs/>
          <w:color w:val="000000" w:themeColor="text1"/>
        </w:rPr>
        <w:t xml:space="preserve"> на назначение трудовой пенсии, но и на размер пенсионных выплат.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Пенсионному фонду РФ выделяются средства из федерального бюджета, направленные на  возмещения расходов, связанных с выплатой пенсии в связи с зачетом данных периодов в страховой стаж,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5812E3">
        <w:rPr>
          <w:bCs/>
          <w:color w:val="000000" w:themeColor="text1"/>
        </w:rPr>
        <w:t xml:space="preserve">В том случае, если у женщины уже имеется общий трудовой стаж (периоды официальной трудовой деятельности), приобретённый до 1 января 2002 года, и его продолжительность по состоянию на 31.12.2001 составляла не менее 40 лет,  учёт </w:t>
      </w:r>
      <w:proofErr w:type="spellStart"/>
      <w:r w:rsidRPr="005812E3">
        <w:rPr>
          <w:bCs/>
          <w:color w:val="000000" w:themeColor="text1"/>
        </w:rPr>
        <w:t>нестраховых</w:t>
      </w:r>
      <w:proofErr w:type="spellEnd"/>
      <w:r w:rsidRPr="005812E3">
        <w:rPr>
          <w:bCs/>
          <w:color w:val="000000" w:themeColor="text1"/>
        </w:rPr>
        <w:t xml:space="preserve"> периодов за время до 2002 года не повлечёт увеличения размера пенсии (у мужчин величина максимального учитываемого общего трудового стажа до 01.01.2002 г. составляет 45 лет</w:t>
      </w:r>
      <w:proofErr w:type="gramEnd"/>
      <w:r w:rsidRPr="005812E3">
        <w:rPr>
          <w:bCs/>
          <w:color w:val="000000" w:themeColor="text1"/>
        </w:rPr>
        <w:t xml:space="preserve">). Если 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 xml:space="preserve"> периоды имели место после 1 января 2002 года, размер пенсии увеличится, и будет увеличен даже в том случае, если общий трудовой стаж превышает 40 и 45 лет.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 xml:space="preserve">Для расчёта суммы возмещения страховых взносов за 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 xml:space="preserve"> периоды стоимость страхового периода за каждый календарный год (определяется Правительством Российской Федерации) умножается на продолжительность «</w:t>
      </w:r>
      <w:proofErr w:type="spellStart"/>
      <w:r w:rsidRPr="005812E3">
        <w:rPr>
          <w:bCs/>
          <w:color w:val="000000" w:themeColor="text1"/>
        </w:rPr>
        <w:t>нестрахового</w:t>
      </w:r>
      <w:proofErr w:type="spellEnd"/>
      <w:r w:rsidRPr="005812E3">
        <w:rPr>
          <w:bCs/>
          <w:color w:val="000000" w:themeColor="text1"/>
        </w:rPr>
        <w:t>» периода в годах. Соответственно, при наличии отдельных месяцев и дней к полученному произведению прибавляются произведения стоимости страхового года на количество месяцев и дней, делённые, соответственно, на 12 и 360: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СВН = СГ * ПГ + СГ * ПМ / 12 + СГ * ПД / 360, где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СВН — сумма возмещения уплаты страховых взносов за «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>» периоды;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СГ — стоимость страхового года на дату установления (назначения, перерасчета) страховой части трудовой пенсии.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>Сумма возмещения в составе трудовой пенсии определяется путем деления полученной суммы возмещения на ожидаемый период выплаты (228 месяцев).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12E3">
        <w:rPr>
          <w:bCs/>
          <w:color w:val="000000" w:themeColor="text1"/>
        </w:rPr>
        <w:t xml:space="preserve">С 1 января 2015 года наличие </w:t>
      </w:r>
      <w:proofErr w:type="spellStart"/>
      <w:r w:rsidRPr="005812E3">
        <w:rPr>
          <w:bCs/>
          <w:color w:val="000000" w:themeColor="text1"/>
        </w:rPr>
        <w:t>нестраховых</w:t>
      </w:r>
      <w:proofErr w:type="spellEnd"/>
      <w:r w:rsidRPr="005812E3">
        <w:rPr>
          <w:bCs/>
          <w:color w:val="000000" w:themeColor="text1"/>
        </w:rPr>
        <w:t xml:space="preserve"> периодов будет влиять на размер трудовой пенсии в контексте введения в систему формирования пенсионных прав и расчёта трудовой пенсии индивидуальных пенсионных коэффициентов, или пенсионных баллов.</w:t>
      </w: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5812E3">
        <w:rPr>
          <w:bCs/>
          <w:color w:val="000000" w:themeColor="text1"/>
        </w:rPr>
        <w:t xml:space="preserve">Напомним, что пенсионный балл за каждый год трудовой деятельности будет определяться как умноженное на 10 отношение суммы страховых взносов, начисленных за каждый год за застрахованное лицо на страховую пенсию в соответствии с Федеральным законом «Об обязательном пенсионном страховании в Российской Федерации» с 1 января 2015 года, к сумме взносов, уплачиваемых с максимального </w:t>
      </w:r>
      <w:proofErr w:type="spellStart"/>
      <w:r w:rsidRPr="005812E3">
        <w:rPr>
          <w:bCs/>
          <w:color w:val="000000" w:themeColor="text1"/>
        </w:rPr>
        <w:t>взносооблагаемого</w:t>
      </w:r>
      <w:proofErr w:type="spellEnd"/>
      <w:r w:rsidRPr="005812E3">
        <w:rPr>
          <w:bCs/>
          <w:color w:val="000000" w:themeColor="text1"/>
        </w:rPr>
        <w:t xml:space="preserve"> заработка (предельная база для начисления страховых взносов).</w:t>
      </w:r>
      <w:proofErr w:type="gramEnd"/>
    </w:p>
    <w:p w:rsidR="005812E3" w:rsidRPr="005812E3" w:rsidRDefault="005812E3" w:rsidP="005812E3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C3152F" w:rsidRPr="005812E3" w:rsidRDefault="005812E3" w:rsidP="005812E3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 w:rsidRPr="005812E3">
        <w:rPr>
          <w:bCs/>
          <w:color w:val="000000" w:themeColor="text1"/>
        </w:rPr>
        <w:t xml:space="preserve">Размер страховой пенсии (аналог сегодняшней страховой части трудовой пенсии) будет определяться путём сложения всех заработанных баллов и умножения полученной суммы на стоимость годового пенсионного коэффициента, определяемую Правительством Российской Федерации. За </w:t>
      </w:r>
      <w:proofErr w:type="spellStart"/>
      <w:r w:rsidRPr="005812E3">
        <w:rPr>
          <w:bCs/>
          <w:color w:val="000000" w:themeColor="text1"/>
        </w:rPr>
        <w:t>нестраховые</w:t>
      </w:r>
      <w:proofErr w:type="spellEnd"/>
      <w:r w:rsidRPr="005812E3">
        <w:rPr>
          <w:bCs/>
          <w:color w:val="000000" w:themeColor="text1"/>
        </w:rPr>
        <w:t xml:space="preserve"> периоды к сумме баллов будут добавляться дополнительные пенсионные коэффициенты. Так, за 1 год срочной службы в </w:t>
      </w:r>
      <w:proofErr w:type="gramStart"/>
      <w:r w:rsidRPr="005812E3">
        <w:rPr>
          <w:bCs/>
          <w:color w:val="000000" w:themeColor="text1"/>
        </w:rPr>
        <w:t>ВС</w:t>
      </w:r>
      <w:proofErr w:type="gramEnd"/>
      <w:r w:rsidRPr="005812E3">
        <w:rPr>
          <w:bCs/>
          <w:color w:val="000000" w:themeColor="text1"/>
        </w:rPr>
        <w:t xml:space="preserve"> и год ухода за нетрудоспособным лицом будут начисляться 1, 8 пенсионных балла, за периоды ухода за детьми в возрасте до полутора лет (не более 4,5 лет в общей сложности)  - 1,8 коэффициента за год отпуска – за 1 ребёнка, 3,6 коэффициента – за 2 ребёнка, 5,4 коэффициента – за 3 ребёнка.  По</w:t>
      </w:r>
      <w:r>
        <w:rPr>
          <w:bCs/>
          <w:color w:val="000000" w:themeColor="text1"/>
        </w:rPr>
        <w:t>мимо этого, данные периоды по-</w:t>
      </w:r>
      <w:r w:rsidRPr="005812E3">
        <w:rPr>
          <w:bCs/>
          <w:color w:val="000000" w:themeColor="text1"/>
        </w:rPr>
        <w:t>прежнему будут засчитываться в страховой стаж.</w:t>
      </w:r>
    </w:p>
    <w:sectPr w:rsidR="00C3152F" w:rsidRPr="005812E3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47" w:rsidRDefault="004E2647">
      <w:r>
        <w:separator/>
      </w:r>
    </w:p>
  </w:endnote>
  <w:endnote w:type="continuationSeparator" w:id="0">
    <w:p w:rsidR="004E2647" w:rsidRDefault="004E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D842C6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47" w:rsidRDefault="004E2647">
      <w:r>
        <w:separator/>
      </w:r>
    </w:p>
  </w:footnote>
  <w:footnote w:type="continuationSeparator" w:id="0">
    <w:p w:rsidR="004E2647" w:rsidRDefault="004E2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D842C6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E264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12E3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62B3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42C6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3ECD"/>
    <w:rsid w:val="00DC5E60"/>
    <w:rsid w:val="00DC6CBA"/>
    <w:rsid w:val="00DD3C54"/>
    <w:rsid w:val="00DD3D71"/>
    <w:rsid w:val="00DD4CEC"/>
    <w:rsid w:val="00DD75DE"/>
    <w:rsid w:val="00DD7858"/>
    <w:rsid w:val="00DE3DA4"/>
    <w:rsid w:val="00DE418B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1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DF38-1F4A-49A8-B6C7-2B27DE3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2019-08-16T09:10:00Z</dcterms:created>
  <dcterms:modified xsi:type="dcterms:W3CDTF">2019-08-16T09:10:00Z</dcterms:modified>
</cp:coreProperties>
</file>