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Pr="004B043E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7A3F7D" w:rsidRPr="007A3F7D" w:rsidRDefault="007A3F7D" w:rsidP="007A3F7D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bookmarkStart w:id="0" w:name="_GoBack"/>
      <w:r w:rsidRPr="007A3F7D">
        <w:rPr>
          <w:b/>
          <w:color w:val="000000"/>
          <w:lang w:eastAsia="ru-RU"/>
        </w:rPr>
        <w:t>Пенсионный фонд России подвел итоги переходной кампании 2019 года</w:t>
      </w:r>
    </w:p>
    <w:bookmarkEnd w:id="0"/>
    <w:p w:rsidR="007A3F7D" w:rsidRPr="007A3F7D" w:rsidRDefault="007A3F7D" w:rsidP="007A3F7D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Пенсионный фонд России подвел итоги переходной кампании 2019 года по переводу пенсионных накоплений в негосударственные пенсионные фонды и управляющие компании.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 xml:space="preserve">Согласно </w:t>
      </w:r>
      <w:proofErr w:type="gramStart"/>
      <w:r w:rsidRPr="007A3F7D">
        <w:rPr>
          <w:color w:val="000000"/>
          <w:lang w:eastAsia="ru-RU"/>
        </w:rPr>
        <w:t>им</w:t>
      </w:r>
      <w:proofErr w:type="gramEnd"/>
      <w:r w:rsidRPr="007A3F7D">
        <w:rPr>
          <w:color w:val="000000"/>
          <w:lang w:eastAsia="ru-RU"/>
        </w:rPr>
        <w:t xml:space="preserve"> за прошлый год в ПФР было подано 345 тыс. заявлений о переводе средств. По сравнению с кампанией 2018 года количество заявлений сократилось в 5,7 раза (с 2 млн), на что прежде всего повлияли новые правила перехода в другой фонд, вступившие в силу с начала 2019-го, а также информирование о потерях при досрочном переводе средств ранее пяти лет.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К рассмотрению также были приняты 195,4 тыс. заявлений о срочном переходе к новому страховщику (по истечении пяти лет), поданные в 2015 году.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В итоге из 540,4 тыс. рассмотренных заявлений положительное решение вынесено по 432,4 тыс. заявлений, то есть по 80%.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В соответствии с удовлетворенными заявлениями больше всего участников переходной кампании (187,3 тыс. человек, или 43,3%), как и в прошлом году, перешли из одного негосударственного пенсионного фонда в другой. В связи с реорганизацией НПФ такой переход сделали 14 тыс. человек.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138,8 тыс. человек (32,1% всех участников кампании) перевели пенсионные накопления из ПФР в НПФ, 104,9 тыс. человек (24,3%) вернулись из НПФ в ПФР, 1,4 тыс. участников (0,3%) сменили управляющую компанию, оставшись в ПФР.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Особенностью переходной кампании прошлого года стало информирование граждан о последствиях преждевременной смены пенсионного фонда, а также возможность отозвать ранее поданное заявление о переходе в новый фонд. В течение 2019 года Пенсионный фонд направил 3,7 млн уведомлений о сумме потерь при досрочном переводе средств и принял 10,8 тыс. уведомлений граждан об отмене перехода в другой фонд.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В результате доля досрочных переходов по итогам прошлого года сократилась до 60,5% (с 95,8% в 2018-м), а потери граждан из-за досрочного перевода накоплений стали наименьшими по сравнению с кампаниями предыдущих лет.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Помимо этого, доля участников переходной кампании, вернувшихся из НПФ в ПФР, выросла по сравнению с 2018 годом более чем в пять раз: с 4,6% до 24,3%.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По итогам прошлого года Пенсионный фонд России передал в негосударственные фонды 12,2 млрд рублей и 0,3 млрд рублей направил в управляющие компании.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t>Сумма инвестиционного дохода, зачисленная ПФР в резерв по обязательному пенсионному страхованию в результате досрочного перехода граждан из ПФР в НПФ, составила 2 млрд рублей.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A3F7D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lang w:eastAsia="ru-RU"/>
        </w:rPr>
      </w:pPr>
      <w:r w:rsidRPr="007A3F7D">
        <w:rPr>
          <w:color w:val="000000"/>
          <w:lang w:eastAsia="ru-RU"/>
        </w:rPr>
        <w:lastRenderedPageBreak/>
        <w:t>Сегодня пенсионные накопления в государственной управляющей компании ВЭБ.РФ формируют 38,6 млн застрахованных лиц, в негосударственных пенсионных фондах – 37,4 млн граждан, в частных управляющих компаниях – 0,3 млн граждан.</w:t>
      </w:r>
    </w:p>
    <w:p w:rsidR="007A3F7D" w:rsidRPr="007A3F7D" w:rsidRDefault="007A3F7D" w:rsidP="007A3F7D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7D19FF" w:rsidRPr="007A3F7D" w:rsidRDefault="007A3F7D" w:rsidP="007A3F7D">
      <w:pPr>
        <w:shd w:val="clear" w:color="auto" w:fill="FFFFFF"/>
        <w:suppressAutoHyphens w:val="0"/>
        <w:ind w:firstLine="708"/>
        <w:jc w:val="both"/>
        <w:rPr>
          <w:color w:val="000000"/>
          <w:shd w:val="clear" w:color="auto" w:fill="FFFFFF"/>
        </w:rPr>
      </w:pPr>
      <w:r w:rsidRPr="007A3F7D">
        <w:rPr>
          <w:color w:val="000000"/>
          <w:lang w:eastAsia="ru-RU"/>
        </w:rPr>
        <w:t xml:space="preserve">Напомним, заявление о переводе пенсионных накоплений в другой фонд или управляющую компанию принимается до 1 декабря. Подать его можно через электронный сервис портала </w:t>
      </w:r>
      <w:proofErr w:type="spellStart"/>
      <w:r w:rsidRPr="007A3F7D">
        <w:rPr>
          <w:color w:val="000000"/>
          <w:lang w:eastAsia="ru-RU"/>
        </w:rPr>
        <w:t>Госуслуг</w:t>
      </w:r>
      <w:proofErr w:type="spellEnd"/>
      <w:r w:rsidRPr="007A3F7D">
        <w:rPr>
          <w:color w:val="000000"/>
          <w:lang w:eastAsia="ru-RU"/>
        </w:rPr>
        <w:t>.</w:t>
      </w:r>
    </w:p>
    <w:sectPr w:rsidR="007D19FF" w:rsidRPr="007A3F7D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050" w:rsidRDefault="001A0050">
      <w:r>
        <w:separator/>
      </w:r>
    </w:p>
  </w:endnote>
  <w:endnote w:type="continuationSeparator" w:id="0">
    <w:p w:rsidR="001A0050" w:rsidRDefault="001A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5B0BD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050" w:rsidRDefault="001A0050">
      <w:r>
        <w:separator/>
      </w:r>
    </w:p>
  </w:footnote>
  <w:footnote w:type="continuationSeparator" w:id="0">
    <w:p w:rsidR="001A0050" w:rsidRDefault="001A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42A81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8"/>
  </w:num>
  <w:num w:numId="8">
    <w:abstractNumId w:val="32"/>
  </w:num>
  <w:num w:numId="9">
    <w:abstractNumId w:val="2"/>
  </w:num>
  <w:num w:numId="10">
    <w:abstractNumId w:val="26"/>
  </w:num>
  <w:num w:numId="11">
    <w:abstractNumId w:val="18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5"/>
  </w:num>
  <w:num w:numId="18">
    <w:abstractNumId w:val="16"/>
  </w:num>
  <w:num w:numId="19">
    <w:abstractNumId w:val="9"/>
  </w:num>
  <w:num w:numId="20">
    <w:abstractNumId w:val="17"/>
  </w:num>
  <w:num w:numId="21">
    <w:abstractNumId w:val="24"/>
  </w:num>
  <w:num w:numId="22">
    <w:abstractNumId w:val="14"/>
  </w:num>
  <w:num w:numId="23">
    <w:abstractNumId w:val="30"/>
  </w:num>
  <w:num w:numId="24">
    <w:abstractNumId w:val="43"/>
  </w:num>
  <w:num w:numId="25">
    <w:abstractNumId w:val="23"/>
  </w:num>
  <w:num w:numId="26">
    <w:abstractNumId w:val="4"/>
  </w:num>
  <w:num w:numId="27">
    <w:abstractNumId w:val="19"/>
  </w:num>
  <w:num w:numId="28">
    <w:abstractNumId w:val="41"/>
  </w:num>
  <w:num w:numId="29">
    <w:abstractNumId w:val="10"/>
  </w:num>
  <w:num w:numId="30">
    <w:abstractNumId w:val="38"/>
  </w:num>
  <w:num w:numId="31">
    <w:abstractNumId w:val="34"/>
  </w:num>
  <w:num w:numId="32">
    <w:abstractNumId w:val="5"/>
  </w:num>
  <w:num w:numId="33">
    <w:abstractNumId w:val="20"/>
  </w:num>
  <w:num w:numId="34">
    <w:abstractNumId w:val="31"/>
  </w:num>
  <w:num w:numId="35">
    <w:abstractNumId w:val="25"/>
  </w:num>
  <w:num w:numId="36">
    <w:abstractNumId w:val="42"/>
  </w:num>
  <w:num w:numId="37">
    <w:abstractNumId w:val="37"/>
  </w:num>
  <w:num w:numId="38">
    <w:abstractNumId w:val="39"/>
  </w:num>
  <w:num w:numId="39">
    <w:abstractNumId w:val="36"/>
  </w:num>
  <w:num w:numId="40">
    <w:abstractNumId w:val="13"/>
  </w:num>
  <w:num w:numId="41">
    <w:abstractNumId w:val="27"/>
  </w:num>
  <w:num w:numId="42">
    <w:abstractNumId w:val="29"/>
  </w:num>
  <w:num w:numId="43">
    <w:abstractNumId w:val="8"/>
  </w:num>
  <w:num w:numId="44">
    <w:abstractNumId w:val="33"/>
  </w:num>
  <w:num w:numId="45">
    <w:abstractNumId w:val="2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A0050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2D23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213B1-A685-442B-A3B0-BC680FA9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2020-04-23T17:29:00Z</dcterms:created>
  <dcterms:modified xsi:type="dcterms:W3CDTF">2020-04-23T17:29:00Z</dcterms:modified>
</cp:coreProperties>
</file>