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tabs>
          <w:tab w:leader="none" w:pos="5245" w:val="left"/>
        </w:tabs>
        <w:spacing w:line="240" w:lineRule="exact"/>
        <w:ind w:left="524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рокурор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Невского района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г. </w:t>
      </w:r>
      <w:r>
        <w:rPr>
          <w:rFonts w:ascii="Times New Roman" w:hAnsi="Times New Roman"/>
          <w:sz w:val="28"/>
        </w:rPr>
        <w:t>Санкт-Петербурга</w:t>
      </w:r>
    </w:p>
    <w:p w14:paraId="03000000">
      <w:pPr>
        <w:widowControl w:val="1"/>
        <w:spacing w:line="240" w:lineRule="exact"/>
        <w:ind w:left="524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старшему </w:t>
      </w:r>
      <w:r>
        <w:rPr>
          <w:rFonts w:ascii="Times New Roman" w:hAnsi="Times New Roman"/>
          <w:sz w:val="28"/>
        </w:rPr>
        <w:t>советнику юстиции</w:t>
      </w:r>
    </w:p>
    <w:p w14:paraId="04000000">
      <w:pPr>
        <w:widowControl w:val="1"/>
        <w:spacing w:line="240" w:lineRule="exact"/>
        <w:ind w:left="524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Рагимову Р.А.</w:t>
      </w:r>
    </w:p>
    <w:p w14:paraId="05000000">
      <w:pPr>
        <w:widowControl w:val="1"/>
        <w:spacing w:line="240" w:lineRule="exact"/>
        <w:ind/>
        <w:rPr>
          <w:rFonts w:ascii="Times New Roman" w:hAnsi="Times New Roman"/>
          <w:sz w:val="28"/>
        </w:rPr>
      </w:pPr>
    </w:p>
    <w:p w14:paraId="06000000">
      <w:pPr>
        <w:widowControl w:val="1"/>
        <w:spacing w:line="240" w:lineRule="exact"/>
        <w:ind/>
        <w:rPr>
          <w:rFonts w:ascii="Times New Roman" w:hAnsi="Times New Roman"/>
          <w:sz w:val="28"/>
        </w:rPr>
      </w:pPr>
    </w:p>
    <w:p w14:paraId="07000000">
      <w:pPr>
        <w:widowControl w:val="1"/>
        <w:spacing w:line="240" w:lineRule="exact"/>
        <w:ind/>
        <w:rPr>
          <w:rFonts w:ascii="Times New Roman" w:hAnsi="Times New Roman"/>
          <w:sz w:val="28"/>
        </w:rPr>
      </w:pPr>
    </w:p>
    <w:p w14:paraId="08000000">
      <w:pPr>
        <w:widowControl w:val="1"/>
        <w:spacing w:line="240" w:lineRule="exact"/>
        <w:ind/>
        <w:rPr>
          <w:rFonts w:ascii="Times New Roman" w:hAnsi="Times New Roman"/>
          <w:sz w:val="28"/>
        </w:rPr>
      </w:pPr>
    </w:p>
    <w:p w14:paraId="09000000">
      <w:pPr>
        <w:widowControl w:val="1"/>
        <w:ind w:right="495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в рамках правового просвещения</w:t>
      </w:r>
    </w:p>
    <w:p w14:paraId="0A000000">
      <w:pPr>
        <w:widowControl w:val="1"/>
        <w:spacing w:after="0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Процесс установления инвалидности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С 2026 года процесс установления инвалидности переходит на электронный документооборот, а само обследование и подготовка к нему практически </w:t>
      </w:r>
      <w:r>
        <w:rPr>
          <w:rFonts w:ascii="Times New Roman" w:hAnsi="Times New Roman"/>
          <w:i w:val="1"/>
          <w:sz w:val="28"/>
        </w:rPr>
        <w:t xml:space="preserve">уходят </w:t>
      </w:r>
      <w:r>
        <w:rPr>
          <w:rFonts w:ascii="Times New Roman" w:hAnsi="Times New Roman"/>
          <w:i w:val="1"/>
          <w:sz w:val="28"/>
        </w:rPr>
        <w:t>в заочный формат.</w:t>
      </w: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Напомним, что для получения направления на МСЭ гражданину надлежит пройти обследование в медицинско</w:t>
      </w:r>
      <w:r>
        <w:rPr>
          <w:rFonts w:ascii="Times New Roman" w:hAnsi="Times New Roman"/>
          <w:sz w:val="28"/>
        </w:rPr>
        <w:t>м учреждении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(в государственном или частном</w:t>
      </w:r>
      <w:r>
        <w:rPr>
          <w:rFonts w:ascii="Times New Roman" w:hAnsi="Times New Roman"/>
          <w:sz w:val="28"/>
        </w:rPr>
        <w:t>).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случае</w:t>
      </w:r>
      <w:r>
        <w:rPr>
          <w:rFonts w:ascii="Times New Roman" w:hAnsi="Times New Roman"/>
          <w:sz w:val="28"/>
        </w:rPr>
        <w:t xml:space="preserve"> отказа медицинской организации от оформления направления, гражданину выдается заключение врачебной комиссии, которое он вправе обжаловать в </w:t>
      </w:r>
      <w:r>
        <w:rPr>
          <w:rFonts w:ascii="Times New Roman" w:hAnsi="Times New Roman"/>
          <w:sz w:val="28"/>
        </w:rPr>
        <w:t xml:space="preserve">органы </w:t>
      </w:r>
      <w:r>
        <w:rPr>
          <w:rFonts w:ascii="Times New Roman" w:hAnsi="Times New Roman"/>
          <w:sz w:val="28"/>
        </w:rPr>
        <w:t xml:space="preserve">Росздравнадзора. </w:t>
      </w:r>
    </w:p>
    <w:p w14:paraId="0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Весь процесс прохождения медицинских осмотров и подготовки документов в среднем занимает около 30 рабочих дней.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</w:t>
      </w:r>
      <w:r>
        <w:rPr>
          <w:rFonts w:ascii="Times New Roman" w:hAnsi="Times New Roman"/>
          <w:sz w:val="28"/>
        </w:rPr>
        <w:t>кспертиза проводится в двух формах: с участием гражданина (о</w:t>
      </w:r>
      <w:r>
        <w:rPr>
          <w:rFonts w:ascii="Times New Roman" w:hAnsi="Times New Roman"/>
          <w:sz w:val="28"/>
        </w:rPr>
        <w:t xml:space="preserve">чная) и без такового (заочная). </w:t>
      </w:r>
      <w:r>
        <w:rPr>
          <w:rFonts w:ascii="Times New Roman" w:hAnsi="Times New Roman"/>
          <w:sz w:val="28"/>
        </w:rPr>
        <w:t>Подтверждением окончания экспертизы служит справка об инвалидности и индивидуальная программа реабилитации (документы с 1 марта 2026 года формируются в электронном виде и доступны к просмотру через портал «</w:t>
      </w:r>
      <w:r>
        <w:rPr>
          <w:rFonts w:ascii="Times New Roman" w:hAnsi="Times New Roman"/>
          <w:sz w:val="28"/>
        </w:rPr>
        <w:t>Госуслуги</w:t>
      </w:r>
      <w:r>
        <w:rPr>
          <w:rFonts w:ascii="Times New Roman" w:hAnsi="Times New Roman"/>
          <w:sz w:val="28"/>
        </w:rPr>
        <w:t>»).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Цифровизация</w:t>
      </w:r>
      <w:r>
        <w:rPr>
          <w:rFonts w:ascii="Times New Roman" w:hAnsi="Times New Roman"/>
          <w:sz w:val="28"/>
        </w:rPr>
        <w:t xml:space="preserve"> выдаваемых документов несет в себе ряд преимуществ, которые заключаются, например, в отсутствии </w:t>
      </w:r>
      <w:r>
        <w:rPr>
          <w:rFonts w:ascii="Times New Roman" w:hAnsi="Times New Roman"/>
          <w:sz w:val="28"/>
        </w:rPr>
        <w:t>обязательной явки</w:t>
      </w:r>
      <w:r>
        <w:rPr>
          <w:rFonts w:ascii="Times New Roman" w:hAnsi="Times New Roman"/>
          <w:sz w:val="28"/>
        </w:rPr>
        <w:t xml:space="preserve"> за получением бумажных документов. Справка об инвалидности всегда доступна в личном кабинете на портале «</w:t>
      </w:r>
      <w:r>
        <w:rPr>
          <w:rFonts w:ascii="Times New Roman" w:hAnsi="Times New Roman"/>
          <w:sz w:val="28"/>
        </w:rPr>
        <w:t>Госуслуги</w:t>
      </w:r>
      <w:r>
        <w:rPr>
          <w:rFonts w:ascii="Times New Roman" w:hAnsi="Times New Roman"/>
          <w:sz w:val="28"/>
        </w:rPr>
        <w:t>», ее можно предъявлять для получения скид</w:t>
      </w:r>
      <w:r>
        <w:rPr>
          <w:rFonts w:ascii="Times New Roman" w:hAnsi="Times New Roman"/>
          <w:sz w:val="28"/>
        </w:rPr>
        <w:t>ок</w:t>
      </w:r>
      <w:r>
        <w:rPr>
          <w:rFonts w:ascii="Times New Roman" w:hAnsi="Times New Roman"/>
          <w:sz w:val="28"/>
        </w:rPr>
        <w:t xml:space="preserve"> при посещении музея или при приобретении льготного проездного </w:t>
      </w:r>
      <w:r>
        <w:rPr>
          <w:rFonts w:ascii="Times New Roman" w:hAnsi="Times New Roman"/>
          <w:sz w:val="28"/>
        </w:rPr>
        <w:t>билета</w:t>
      </w:r>
      <w:r>
        <w:rPr>
          <w:rFonts w:ascii="Times New Roman" w:hAnsi="Times New Roman"/>
          <w:sz w:val="28"/>
        </w:rPr>
        <w:t xml:space="preserve"> как с экрана </w:t>
      </w:r>
      <w:r>
        <w:rPr>
          <w:rFonts w:ascii="Times New Roman" w:hAnsi="Times New Roman"/>
          <w:sz w:val="28"/>
        </w:rPr>
        <w:t>мобильного устройства</w:t>
      </w:r>
      <w:r>
        <w:rPr>
          <w:rFonts w:ascii="Times New Roman" w:hAnsi="Times New Roman"/>
          <w:sz w:val="28"/>
        </w:rPr>
        <w:t>, так и предварительно распечатав.</w:t>
      </w:r>
    </w:p>
    <w:p w14:paraId="1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 xml:space="preserve">этого года </w:t>
      </w:r>
      <w:r>
        <w:rPr>
          <w:rFonts w:ascii="Times New Roman" w:hAnsi="Times New Roman"/>
          <w:sz w:val="28"/>
        </w:rPr>
        <w:t xml:space="preserve">сведения об инвалидности размещаются в «Единой централизованной цифровой платформе в социальной сфере»,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 xml:space="preserve">оступ к </w:t>
      </w:r>
      <w:r>
        <w:rPr>
          <w:rFonts w:ascii="Times New Roman" w:hAnsi="Times New Roman"/>
          <w:sz w:val="28"/>
        </w:rPr>
        <w:t xml:space="preserve">которой </w:t>
      </w:r>
      <w:r>
        <w:rPr>
          <w:rFonts w:ascii="Times New Roman" w:hAnsi="Times New Roman"/>
          <w:sz w:val="28"/>
        </w:rPr>
        <w:t>имеют органы государственной власти и органы местного сам</w:t>
      </w:r>
      <w:r>
        <w:rPr>
          <w:rFonts w:ascii="Times New Roman" w:hAnsi="Times New Roman"/>
          <w:sz w:val="28"/>
        </w:rPr>
        <w:t>оуправления. В этой связи еще одной</w:t>
      </w:r>
      <w:r>
        <w:rPr>
          <w:rFonts w:ascii="Times New Roman" w:hAnsi="Times New Roman"/>
          <w:sz w:val="28"/>
        </w:rPr>
        <w:t xml:space="preserve"> привилегий является возможность </w:t>
      </w:r>
      <w:r>
        <w:rPr>
          <w:rFonts w:ascii="Times New Roman" w:hAnsi="Times New Roman"/>
          <w:sz w:val="28"/>
        </w:rPr>
        <w:t>проактивного</w:t>
      </w:r>
      <w:r>
        <w:rPr>
          <w:rFonts w:ascii="Times New Roman" w:hAnsi="Times New Roman"/>
          <w:sz w:val="28"/>
        </w:rPr>
        <w:t xml:space="preserve"> получения льгот и выплат: в течение 10 рабочих дней после размещения информации об инвалидности </w:t>
      </w:r>
      <w:r>
        <w:rPr>
          <w:rFonts w:ascii="Times New Roman" w:hAnsi="Times New Roman"/>
          <w:sz w:val="28"/>
        </w:rPr>
        <w:t xml:space="preserve">в системе </w:t>
      </w:r>
      <w:r>
        <w:rPr>
          <w:rFonts w:ascii="Times New Roman" w:hAnsi="Times New Roman"/>
          <w:sz w:val="28"/>
        </w:rPr>
        <w:t>органами Социального Ф</w:t>
      </w:r>
      <w:r>
        <w:rPr>
          <w:rFonts w:ascii="Times New Roman" w:hAnsi="Times New Roman"/>
          <w:sz w:val="28"/>
        </w:rPr>
        <w:t>онда России граждан</w:t>
      </w:r>
      <w:r>
        <w:rPr>
          <w:rFonts w:ascii="Times New Roman" w:hAnsi="Times New Roman"/>
          <w:sz w:val="28"/>
        </w:rPr>
        <w:t>ину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беззаявительно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порядке </w:t>
      </w:r>
      <w:r>
        <w:rPr>
          <w:rFonts w:ascii="Times New Roman" w:hAnsi="Times New Roman"/>
          <w:sz w:val="28"/>
        </w:rPr>
        <w:t>назначается ежемесячная денежная выплата (ЕДВ) и предоставляется набор социальных услуг.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этом гражданин имеет право отказаться от ЕДВ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от набора социальных услуг в натуральном виде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обратиться с заявлением о назначении выплаты вновь или по другому основанию, замени</w:t>
      </w:r>
      <w:r>
        <w:rPr>
          <w:rFonts w:ascii="Times New Roman" w:hAnsi="Times New Roman"/>
          <w:sz w:val="28"/>
        </w:rPr>
        <w:t>ть</w:t>
      </w:r>
      <w:r>
        <w:rPr>
          <w:rFonts w:ascii="Times New Roman" w:hAnsi="Times New Roman"/>
          <w:sz w:val="28"/>
        </w:rPr>
        <w:t xml:space="preserve"> форму предоставления </w:t>
      </w:r>
      <w:r>
        <w:rPr>
          <w:rFonts w:ascii="Times New Roman" w:hAnsi="Times New Roman"/>
          <w:sz w:val="28"/>
        </w:rPr>
        <w:t xml:space="preserve">услуг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денежную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14:paraId="1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Сохранится ли при текущих </w:t>
      </w:r>
      <w:r>
        <w:rPr>
          <w:rFonts w:ascii="Times New Roman" w:hAnsi="Times New Roman"/>
          <w:sz w:val="28"/>
        </w:rPr>
        <w:t>нововведениях возможность получа</w:t>
      </w:r>
      <w:r>
        <w:rPr>
          <w:rFonts w:ascii="Times New Roman" w:hAnsi="Times New Roman"/>
          <w:sz w:val="28"/>
        </w:rPr>
        <w:t xml:space="preserve">ть документы на бумажном носителе? Конечно, </w:t>
      </w:r>
      <w:r>
        <w:rPr>
          <w:rFonts w:ascii="Times New Roman" w:hAnsi="Times New Roman"/>
          <w:sz w:val="28"/>
        </w:rPr>
        <w:t>по желанию гражданина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документы могут быть направлены </w:t>
      </w:r>
      <w:r>
        <w:rPr>
          <w:rFonts w:ascii="Times New Roman" w:hAnsi="Times New Roman"/>
          <w:sz w:val="28"/>
        </w:rPr>
        <w:t xml:space="preserve">заказным почтовым отправлением </w:t>
      </w:r>
      <w:r>
        <w:rPr>
          <w:rFonts w:ascii="Times New Roman" w:hAnsi="Times New Roman"/>
          <w:sz w:val="28"/>
        </w:rPr>
        <w:t xml:space="preserve">на домашний адрес </w:t>
      </w:r>
      <w:r>
        <w:rPr>
          <w:rFonts w:ascii="Times New Roman" w:hAnsi="Times New Roman"/>
          <w:sz w:val="28"/>
        </w:rPr>
        <w:t>или выда</w:t>
      </w:r>
      <w:r>
        <w:rPr>
          <w:rFonts w:ascii="Times New Roman" w:hAnsi="Times New Roman"/>
          <w:sz w:val="28"/>
        </w:rPr>
        <w:t>ны в бюро МСЭ.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справки старого образца продолжат свое действие в пределах срока назначенного переосвидетельствования.</w:t>
      </w:r>
    </w:p>
    <w:p w14:paraId="1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Отметим, что участникам специальной военной операции для прохождения освидетельствования надлежит </w:t>
      </w:r>
      <w:r>
        <w:rPr>
          <w:rFonts w:ascii="Times New Roman" w:hAnsi="Times New Roman"/>
          <w:sz w:val="28"/>
        </w:rPr>
        <w:t xml:space="preserve">иметь на руках </w:t>
      </w:r>
      <w:r>
        <w:rPr>
          <w:rFonts w:ascii="Times New Roman" w:hAnsi="Times New Roman"/>
          <w:sz w:val="28"/>
        </w:rPr>
        <w:t xml:space="preserve">заключение военно-врачебной комиссии или свидетельство о болезни, иные документы, подтверждающие получение ранения во время службы («военная травма»). Бойцы проходят МСЭ в течение 7 рабочий дней, </w:t>
      </w:r>
      <w:r>
        <w:rPr>
          <w:rFonts w:ascii="Times New Roman" w:hAnsi="Times New Roman"/>
          <w:sz w:val="28"/>
        </w:rPr>
        <w:t xml:space="preserve">а </w:t>
      </w:r>
      <w:r>
        <w:rPr>
          <w:rFonts w:ascii="Times New Roman" w:hAnsi="Times New Roman"/>
          <w:sz w:val="28"/>
        </w:rPr>
        <w:t xml:space="preserve">если же имеется необходимость в паллиативной помощи, протезировании или перенесена ампутацию конечностей, срок сокращается до 3 дней. </w:t>
      </w:r>
      <w:r>
        <w:rPr>
          <w:rFonts w:ascii="Times New Roman" w:hAnsi="Times New Roman"/>
          <w:sz w:val="28"/>
        </w:rPr>
        <w:t>Э</w:t>
      </w:r>
      <w:r>
        <w:rPr>
          <w:rFonts w:ascii="Times New Roman" w:hAnsi="Times New Roman"/>
          <w:sz w:val="28"/>
        </w:rPr>
        <w:t>кспертизы</w:t>
      </w:r>
      <w:r>
        <w:rPr>
          <w:rFonts w:ascii="Times New Roman" w:hAnsi="Times New Roman"/>
          <w:sz w:val="28"/>
        </w:rPr>
        <w:t xml:space="preserve"> для указанной категории</w:t>
      </w:r>
      <w:r>
        <w:rPr>
          <w:rFonts w:ascii="Times New Roman" w:hAnsi="Times New Roman"/>
          <w:sz w:val="28"/>
        </w:rPr>
        <w:t xml:space="preserve"> граждан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как правило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про</w:t>
      </w:r>
      <w:r>
        <w:rPr>
          <w:rFonts w:ascii="Times New Roman" w:hAnsi="Times New Roman"/>
          <w:sz w:val="28"/>
        </w:rPr>
        <w:t>водятся заочно и при наличии оснований дают право на бессрочное установление инвалидности.</w:t>
      </w:r>
    </w:p>
    <w:p w14:paraId="16000000">
      <w:pPr>
        <w:widowControl w:val="1"/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Обжаловать результаты МСЭ </w:t>
      </w:r>
      <w:r>
        <w:rPr>
          <w:rFonts w:ascii="Times New Roman" w:hAnsi="Times New Roman"/>
          <w:sz w:val="28"/>
        </w:rPr>
        <w:t>воз</w:t>
      </w:r>
      <w:r>
        <w:rPr>
          <w:rFonts w:ascii="Times New Roman" w:hAnsi="Times New Roman"/>
          <w:sz w:val="28"/>
        </w:rPr>
        <w:t>можно в Главное</w:t>
      </w:r>
      <w:r>
        <w:rPr>
          <w:rFonts w:ascii="Times New Roman" w:hAnsi="Times New Roman"/>
          <w:sz w:val="28"/>
        </w:rPr>
        <w:t xml:space="preserve"> бюро МСЭ по Санкт-Петербургу</w:t>
      </w:r>
      <w:r>
        <w:rPr>
          <w:rFonts w:ascii="Times New Roman" w:hAnsi="Times New Roman"/>
          <w:sz w:val="28"/>
        </w:rPr>
        <w:t xml:space="preserve"> (Санкт-Петербург, Литейный пр., д. 58, лит.</w:t>
      </w:r>
      <w:r>
        <w:rPr>
          <w:rFonts w:ascii="Times New Roman" w:hAnsi="Times New Roman"/>
          <w:sz w:val="28"/>
        </w:rPr>
        <w:t xml:space="preserve"> А)</w:t>
      </w:r>
      <w:r>
        <w:rPr>
          <w:rFonts w:ascii="Times New Roman" w:hAnsi="Times New Roman"/>
          <w:sz w:val="28"/>
        </w:rPr>
        <w:t>, а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случае нарушения прав при установлении инвалидности </w:t>
      </w:r>
      <w:r>
        <w:rPr>
          <w:rFonts w:ascii="Times New Roman" w:hAnsi="Times New Roman"/>
          <w:sz w:val="28"/>
        </w:rPr>
        <w:t xml:space="preserve">следует </w:t>
      </w:r>
      <w:r>
        <w:rPr>
          <w:rFonts w:ascii="Times New Roman" w:hAnsi="Times New Roman"/>
          <w:sz w:val="28"/>
        </w:rPr>
        <w:t>обратиться в органы прокуратуры или защищать свои права в судебном порядке</w:t>
      </w:r>
    </w:p>
    <w:p w14:paraId="17000000">
      <w:pPr>
        <w:widowControl w:val="1"/>
        <w:spacing w:line="240" w:lineRule="exact"/>
        <w:ind/>
        <w:jc w:val="both"/>
        <w:rPr>
          <w:rFonts w:ascii="Times New Roman" w:hAnsi="Times New Roman"/>
          <w:sz w:val="24"/>
        </w:rPr>
      </w:pPr>
    </w:p>
    <w:p w14:paraId="18000000">
      <w:pPr>
        <w:widowControl w:val="1"/>
        <w:spacing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п</w:t>
      </w:r>
      <w:r>
        <w:rPr>
          <w:rFonts w:ascii="Times New Roman" w:hAnsi="Times New Roman"/>
          <w:sz w:val="28"/>
        </w:rPr>
        <w:t>омощник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прокурора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района</w:t>
      </w:r>
      <w:r>
        <w:rPr>
          <w:rFonts w:ascii="Times New Roman" w:hAnsi="Times New Roman"/>
          <w:sz w:val="28"/>
        </w:rPr>
        <w:t xml:space="preserve"> </w:t>
      </w:r>
    </w:p>
    <w:p w14:paraId="19000000">
      <w:pPr>
        <w:widowControl w:val="1"/>
        <w:spacing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юрист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класса                            </w:t>
      </w:r>
      <w:r>
        <w:rPr>
          <w:rFonts w:ascii="Times New Roman" w:hAnsi="Times New Roman"/>
          <w:sz w:val="28"/>
        </w:rPr>
        <w:t xml:space="preserve">                                            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Ж.Р. Кайтмазова</w:t>
      </w:r>
    </w:p>
    <w:sectPr>
      <w:headerReference r:id="rId1" w:type="default"/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heading 7"/>
    <w:basedOn w:val="Style_2"/>
    <w:next w:val="Style_2"/>
    <w:link w:val="Style_5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5_ch" w:type="character">
    <w:name w:val="heading 7"/>
    <w:basedOn w:val="Style_2_ch"/>
    <w:link w:val="Style_5"/>
    <w:rPr>
      <w:color w:themeColor="text1" w:themeTint="A6" w:val="595959"/>
    </w:rPr>
  </w:style>
  <w:style w:styleId="Style_6" w:type="paragraph">
    <w:name w:val="toc 6"/>
    <w:next w:val="Style_2"/>
    <w:link w:val="Style_6_ch"/>
    <w:uiPriority w:val="39"/>
    <w:pPr>
      <w:widowControl w:val="1"/>
      <w:ind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basedOn w:val="Style_2"/>
    <w:next w:val="Style_2"/>
    <w:link w:val="Style_9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104861"/>
      <w:sz w:val="28"/>
    </w:rPr>
  </w:style>
  <w:style w:styleId="Style_9_ch" w:type="character">
    <w:name w:val="heading 3"/>
    <w:basedOn w:val="Style_2_ch"/>
    <w:link w:val="Style_9"/>
    <w:rPr>
      <w:color w:themeColor="accent1" w:themeShade="BF" w:val="104861"/>
      <w:sz w:val="28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1" w:type="paragraph">
    <w:name w:val="Сильное выделение1"/>
    <w:basedOn w:val="Style_10"/>
    <w:link w:val="Style_11_ch"/>
    <w:rPr>
      <w:i w:val="1"/>
      <w:color w:themeColor="accent1" w:themeShade="BF" w:val="104861"/>
    </w:rPr>
  </w:style>
  <w:style w:styleId="Style_11_ch" w:type="character">
    <w:name w:val="Сильное выделение1"/>
    <w:basedOn w:val="Style_10_ch"/>
    <w:link w:val="Style_11"/>
    <w:rPr>
      <w:i w:val="1"/>
      <w:color w:themeColor="accent1" w:themeShade="BF" w:val="104861"/>
    </w:rPr>
  </w:style>
  <w:style w:styleId="Style_12" w:type="paragraph">
    <w:name w:val="Quote"/>
    <w:basedOn w:val="Style_2"/>
    <w:next w:val="Style_2"/>
    <w:link w:val="Style_12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12_ch" w:type="character">
    <w:name w:val="Quote"/>
    <w:basedOn w:val="Style_2_ch"/>
    <w:link w:val="Style_12"/>
    <w:rPr>
      <w:i w:val="1"/>
      <w:color w:themeColor="text1" w:themeTint="BF" w:val="404040"/>
    </w:rPr>
  </w:style>
  <w:style w:styleId="Style_13" w:type="paragraph">
    <w:name w:val="heading 9"/>
    <w:basedOn w:val="Style_2"/>
    <w:next w:val="Style_2"/>
    <w:link w:val="Style_13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3_ch" w:type="character">
    <w:name w:val="heading 9"/>
    <w:basedOn w:val="Style_2_ch"/>
    <w:link w:val="Style_13"/>
    <w:rPr>
      <w:color w:themeColor="text1" w:themeTint="D8" w:val="272727"/>
    </w:rPr>
  </w:style>
  <w:style w:styleId="Style_14" w:type="paragraph">
    <w:name w:val="toc 3"/>
    <w:next w:val="Style_2"/>
    <w:link w:val="Style_14_ch"/>
    <w:uiPriority w:val="39"/>
    <w:pPr>
      <w:widowControl w:val="1"/>
      <w:ind w:left="400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Гиперссылка1"/>
    <w:link w:val="Style_15_ch"/>
    <w:rPr>
      <w:color w:val="0000FF"/>
      <w:u w:val="single"/>
    </w:rPr>
  </w:style>
  <w:style w:styleId="Style_15_ch" w:type="character">
    <w:name w:val="Гиперссылка1"/>
    <w:link w:val="Style_15"/>
    <w:rPr>
      <w:color w:val="0000FF"/>
      <w:u w:val="single"/>
    </w:rPr>
  </w:style>
  <w:style w:styleId="Style_16" w:type="paragraph">
    <w:name w:val="heading 5"/>
    <w:basedOn w:val="Style_2"/>
    <w:next w:val="Style_2"/>
    <w:link w:val="Style_16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104861"/>
    </w:rPr>
  </w:style>
  <w:style w:styleId="Style_16_ch" w:type="character">
    <w:name w:val="heading 5"/>
    <w:basedOn w:val="Style_2_ch"/>
    <w:link w:val="Style_16"/>
    <w:rPr>
      <w:color w:themeColor="accent1" w:themeShade="BF" w:val="104861"/>
    </w:rPr>
  </w:style>
  <w:style w:styleId="Style_17" w:type="paragraph">
    <w:name w:val="heading 1"/>
    <w:basedOn w:val="Style_2"/>
    <w:next w:val="Style_2"/>
    <w:link w:val="Style_17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104861"/>
      <w:sz w:val="40"/>
    </w:rPr>
  </w:style>
  <w:style w:styleId="Style_17_ch" w:type="character">
    <w:name w:val="heading 1"/>
    <w:basedOn w:val="Style_2_ch"/>
    <w:link w:val="Style_17"/>
    <w:rPr>
      <w:rFonts w:asciiTheme="majorAscii" w:hAnsiTheme="majorHAnsi"/>
      <w:color w:themeColor="accent1" w:themeShade="BF" w:val="104861"/>
      <w:sz w:val="40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heading 8"/>
    <w:basedOn w:val="Style_2"/>
    <w:next w:val="Style_2"/>
    <w:link w:val="Style_20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20_ch" w:type="character">
    <w:name w:val="heading 8"/>
    <w:basedOn w:val="Style_2_ch"/>
    <w:link w:val="Style_20"/>
    <w:rPr>
      <w:i w:val="1"/>
      <w:color w:themeColor="text1" w:themeTint="D8" w:val="272727"/>
    </w:rPr>
  </w:style>
  <w:style w:styleId="Style_21" w:type="paragraph">
    <w:name w:val="toc 1"/>
    <w:next w:val="Style_2"/>
    <w:link w:val="Style_21_ch"/>
    <w:uiPriority w:val="39"/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Сильная ссылка1"/>
    <w:basedOn w:val="Style_10"/>
    <w:link w:val="Style_22_ch"/>
    <w:rPr>
      <w:b w:val="1"/>
      <w:smallCaps w:val="1"/>
      <w:color w:themeColor="accent1" w:themeShade="BF" w:val="104861"/>
      <w:spacing w:val="5"/>
    </w:rPr>
  </w:style>
  <w:style w:styleId="Style_22_ch" w:type="character">
    <w:name w:val="Сильная ссылка1"/>
    <w:basedOn w:val="Style_10_ch"/>
    <w:link w:val="Style_22"/>
    <w:rPr>
      <w:b w:val="1"/>
      <w:smallCaps w:val="1"/>
      <w:color w:themeColor="accent1" w:themeShade="BF" w:val="104861"/>
      <w:spacing w:val="5"/>
    </w:rPr>
  </w:style>
  <w:style w:styleId="Style_1" w:type="paragraph">
    <w:name w:val="Header and Footer"/>
    <w:link w:val="Style_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toc 9"/>
    <w:next w:val="Style_2"/>
    <w:link w:val="Style_24_ch"/>
    <w:uiPriority w:val="39"/>
    <w:pPr>
      <w:widowControl w:val="1"/>
      <w:ind w:left="1600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Intense Quote"/>
    <w:basedOn w:val="Style_2"/>
    <w:next w:val="Style_2"/>
    <w:link w:val="Style_25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104861"/>
    </w:rPr>
  </w:style>
  <w:style w:styleId="Style_25_ch" w:type="character">
    <w:name w:val="Intense Quote"/>
    <w:basedOn w:val="Style_2_ch"/>
    <w:link w:val="Style_25"/>
    <w:rPr>
      <w:i w:val="1"/>
      <w:color w:themeColor="accent1" w:themeShade="BF" w:val="104861"/>
    </w:rPr>
  </w:style>
  <w:style w:styleId="Style_26" w:type="paragraph">
    <w:name w:val="toc 8"/>
    <w:next w:val="Style_2"/>
    <w:link w:val="Style_26_ch"/>
    <w:uiPriority w:val="39"/>
    <w:pPr>
      <w:widowControl w:val="1"/>
      <w:ind w:left="1400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2"/>
    <w:link w:val="Style_27_ch"/>
    <w:uiPriority w:val="39"/>
    <w:pPr>
      <w:widowControl w:val="1"/>
      <w:ind w:left="800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basedOn w:val="Style_2"/>
    <w:next w:val="Style_2"/>
    <w:link w:val="Style_28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8_ch" w:type="character">
    <w:name w:val="Subtitle"/>
    <w:basedOn w:val="Style_2_ch"/>
    <w:link w:val="Style_28"/>
    <w:rPr>
      <w:color w:themeColor="text1" w:themeTint="A6" w:val="595959"/>
      <w:spacing w:val="15"/>
      <w:sz w:val="28"/>
    </w:rPr>
  </w:style>
  <w:style w:styleId="Style_29" w:type="paragraph">
    <w:name w:val="Обычный1"/>
    <w:link w:val="Style_29_ch"/>
  </w:style>
  <w:style w:styleId="Style_29_ch" w:type="character">
    <w:name w:val="Обычный1"/>
    <w:link w:val="Style_29"/>
  </w:style>
  <w:style w:styleId="Style_30" w:type="paragraph">
    <w:name w:val="List Paragraph"/>
    <w:basedOn w:val="Style_2"/>
    <w:link w:val="Style_30_ch"/>
    <w:pPr>
      <w:widowControl w:val="1"/>
      <w:ind w:left="720"/>
      <w:contextualSpacing w:val="1"/>
    </w:pPr>
  </w:style>
  <w:style w:styleId="Style_30_ch" w:type="character">
    <w:name w:val="List Paragraph"/>
    <w:basedOn w:val="Style_2_ch"/>
    <w:link w:val="Style_30"/>
  </w:style>
  <w:style w:styleId="Style_31" w:type="paragraph">
    <w:name w:val="Title"/>
    <w:basedOn w:val="Style_2"/>
    <w:next w:val="Style_2"/>
    <w:link w:val="Style_31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31_ch" w:type="character">
    <w:name w:val="Title"/>
    <w:basedOn w:val="Style_2_ch"/>
    <w:link w:val="Style_31"/>
    <w:rPr>
      <w:rFonts w:asciiTheme="majorAscii" w:hAnsiTheme="majorHAnsi"/>
      <w:spacing w:val="-10"/>
      <w:sz w:val="56"/>
    </w:rPr>
  </w:style>
  <w:style w:styleId="Style_32" w:type="paragraph">
    <w:name w:val="heading 4"/>
    <w:basedOn w:val="Style_2"/>
    <w:next w:val="Style_2"/>
    <w:link w:val="Style_32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104861"/>
    </w:rPr>
  </w:style>
  <w:style w:styleId="Style_32_ch" w:type="character">
    <w:name w:val="heading 4"/>
    <w:basedOn w:val="Style_2_ch"/>
    <w:link w:val="Style_32"/>
    <w:rPr>
      <w:i w:val="1"/>
      <w:color w:themeColor="accent1" w:themeShade="BF" w:val="104861"/>
    </w:rPr>
  </w:style>
  <w:style w:styleId="Style_33" w:type="paragraph">
    <w:name w:val="heading 2"/>
    <w:basedOn w:val="Style_2"/>
    <w:next w:val="Style_2"/>
    <w:link w:val="Style_33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104861"/>
      <w:sz w:val="32"/>
    </w:rPr>
  </w:style>
  <w:style w:styleId="Style_33_ch" w:type="character">
    <w:name w:val="heading 2"/>
    <w:basedOn w:val="Style_2_ch"/>
    <w:link w:val="Style_33"/>
    <w:rPr>
      <w:rFonts w:asciiTheme="majorAscii" w:hAnsiTheme="majorHAnsi"/>
      <w:color w:themeColor="accent1" w:themeShade="BF" w:val="104861"/>
      <w:sz w:val="32"/>
    </w:rPr>
  </w:style>
  <w:style w:styleId="Style_34" w:type="paragraph">
    <w:name w:val="heading 6"/>
    <w:basedOn w:val="Style_2"/>
    <w:next w:val="Style_2"/>
    <w:link w:val="Style_34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4_ch" w:type="character">
    <w:name w:val="heading 6"/>
    <w:basedOn w:val="Style_2_ch"/>
    <w:link w:val="Style_34"/>
    <w:rPr>
      <w:i w:val="1"/>
      <w:color w:themeColor="text1" w:themeTint="A6" w:val="595959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2026-03-05T05:57:00Z</dcterms:created>
  <dcterms:modified xsi:type="dcterms:W3CDTF">2026-04-03T07:32:39Z</dcterms:modified>
</cp:coreProperties>
</file>