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0155C5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0155C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0155C5" w:rsidRPr="000155C5" w:rsidRDefault="000155C5" w:rsidP="000155C5">
      <w:pPr>
        <w:pStyle w:val="1"/>
        <w:shd w:val="clear" w:color="auto" w:fill="FFFFFF"/>
        <w:spacing w:before="300" w:after="300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0155C5">
        <w:rPr>
          <w:bCs/>
          <w:sz w:val="24"/>
          <w:szCs w:val="24"/>
        </w:rPr>
        <w:t>трахов</w:t>
      </w:r>
      <w:r>
        <w:rPr>
          <w:bCs/>
          <w:sz w:val="24"/>
          <w:szCs w:val="24"/>
        </w:rPr>
        <w:t>ая пенсия</w:t>
      </w:r>
      <w:r w:rsidRPr="000155C5">
        <w:rPr>
          <w:bCs/>
          <w:sz w:val="24"/>
          <w:szCs w:val="24"/>
        </w:rPr>
        <w:t xml:space="preserve"> по случаю потери кормильца</w:t>
      </w:r>
    </w:p>
    <w:p w:rsidR="000155C5" w:rsidRPr="000155C5" w:rsidRDefault="000155C5" w:rsidP="000155C5">
      <w:pPr>
        <w:shd w:val="clear" w:color="auto" w:fill="FFFFFF"/>
        <w:jc w:val="both"/>
      </w:pPr>
      <w:r w:rsidRPr="000155C5">
        <w:br/>
        <w:t>Страховая пенсия по случаю потери кормильца назначается нетрудоспособным членам семьи умершего кормильца, состоявшим на его иждивении. Исключение – лица, совершившие умышленное уголовно наказуемое деяние, повлекшее за собой смерть кормильца и установленное в судебном порядке.</w:t>
      </w:r>
    </w:p>
    <w:p w:rsidR="000155C5" w:rsidRPr="000155C5" w:rsidRDefault="000155C5" w:rsidP="000155C5">
      <w:pPr>
        <w:pStyle w:val="3"/>
        <w:shd w:val="clear" w:color="auto" w:fill="FFFFFF"/>
        <w:spacing w:before="300" w:after="15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8" w:history="1">
        <w:r w:rsidRPr="000155C5">
          <w:rPr>
            <w:rStyle w:val="a8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Кто имеет право на назначение страховой пенсии по случаю потери кормильца</w:t>
        </w:r>
      </w:hyperlink>
      <w:r>
        <w:rPr>
          <w:rFonts w:ascii="Times New Roman" w:hAnsi="Times New Roman" w:cs="Times New Roman"/>
          <w:b w:val="0"/>
          <w:bCs w:val="0"/>
          <w:sz w:val="24"/>
          <w:szCs w:val="24"/>
        </w:rPr>
        <w:t>?</w:t>
      </w:r>
    </w:p>
    <w:p w:rsidR="000155C5" w:rsidRPr="000155C5" w:rsidRDefault="000155C5" w:rsidP="000155C5">
      <w:pPr>
        <w:pStyle w:val="a7"/>
        <w:shd w:val="clear" w:color="auto" w:fill="FFFFFF"/>
        <w:spacing w:before="0" w:after="150"/>
        <w:jc w:val="both"/>
      </w:pPr>
      <w:r w:rsidRPr="000155C5">
        <w:t>Нетрудоспособные члены семьи умершего кормильца, которые состояли на его иждивении, независимо от продолжительности страхового стажа кормильца, а также от причины и времени наступления его смерти. Члены семьи умершего кормильца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</w:t>
      </w:r>
      <w:proofErr w:type="gramStart"/>
      <w:r w:rsidRPr="000155C5">
        <w:t>ю(</w:t>
      </w:r>
      <w:proofErr w:type="gramEnd"/>
      <w:r w:rsidRPr="000155C5">
        <w:t>при этом не требует доказательств иждивение детей умерших родителей, не достигших возраста 18 лет (за исключением детей, признанных полностью дееспособными до указанного возраста).</w:t>
      </w:r>
    </w:p>
    <w:p w:rsidR="000155C5" w:rsidRPr="000155C5" w:rsidRDefault="000155C5" w:rsidP="000155C5">
      <w:pPr>
        <w:pStyle w:val="a7"/>
        <w:shd w:val="clear" w:color="auto" w:fill="FFFFFF"/>
        <w:spacing w:before="0" w:after="150"/>
        <w:jc w:val="both"/>
      </w:pPr>
      <w:r w:rsidRPr="000155C5">
        <w:t>Нетрудоспособными членами семьи умершего кормильца признаются:</w:t>
      </w:r>
    </w:p>
    <w:p w:rsidR="000155C5" w:rsidRPr="000155C5" w:rsidRDefault="000155C5" w:rsidP="000155C5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155C5">
        <w:t>дети, братья, сестры и внуки умершего кормильца, не достигшие возраста 18 лет;</w:t>
      </w:r>
    </w:p>
    <w:p w:rsidR="000155C5" w:rsidRPr="000155C5" w:rsidRDefault="000155C5" w:rsidP="000155C5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0" w:after="150"/>
        <w:jc w:val="both"/>
      </w:pPr>
      <w:r w:rsidRPr="000155C5">
        <w:t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</w:t>
      </w:r>
      <w:proofErr w:type="gramStart"/>
      <w:r w:rsidRPr="000155C5">
        <w:t xml:space="preserve"> ,</w:t>
      </w:r>
      <w:proofErr w:type="gramEnd"/>
      <w:r w:rsidRPr="000155C5">
        <w:t xml:space="preserve"> до окончания ими такого обучения, но не дольше чем до достижения ими возраста 23 лет;</w:t>
      </w:r>
    </w:p>
    <w:p w:rsidR="000155C5" w:rsidRPr="000155C5" w:rsidRDefault="000155C5" w:rsidP="000155C5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155C5">
        <w:t>дети, братья, сестры и внуки умершего кормильца старше этого возраста, если они до достижения возраста 18 лет стали инвалидами;</w:t>
      </w:r>
    </w:p>
    <w:p w:rsidR="000155C5" w:rsidRPr="000155C5" w:rsidRDefault="000155C5" w:rsidP="000155C5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155C5"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0155C5" w:rsidRPr="000155C5" w:rsidRDefault="000155C5" w:rsidP="000155C5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0" w:after="150"/>
        <w:jc w:val="both"/>
      </w:pPr>
      <w:r w:rsidRPr="000155C5">
        <w:t>родители и супруг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 w:rsidR="000155C5" w:rsidRPr="000155C5" w:rsidRDefault="000155C5" w:rsidP="000155C5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0" w:after="150"/>
        <w:jc w:val="both"/>
      </w:pPr>
      <w:r w:rsidRPr="000155C5">
        <w:t>дедушка и бабушка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 w:rsidR="000155C5" w:rsidRPr="000155C5" w:rsidRDefault="000155C5" w:rsidP="000155C5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155C5">
        <w:t>нетрудоспособные родители и супруг, не состоявшие на иждивен</w:t>
      </w:r>
      <w:proofErr w:type="gramStart"/>
      <w:r w:rsidRPr="000155C5">
        <w:t>ии у у</w:t>
      </w:r>
      <w:proofErr w:type="gramEnd"/>
      <w:r w:rsidRPr="000155C5">
        <w:t>мершего кормильца, независимо от времени, прошедшего после его смерти, если они утратят источник средств к существованию;</w:t>
      </w:r>
    </w:p>
    <w:p w:rsidR="000155C5" w:rsidRPr="000155C5" w:rsidRDefault="000155C5" w:rsidP="000155C5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155C5">
        <w:t xml:space="preserve">один из родителей, супруг, дедушка, бабушка умершего кормильца, а также брат, сестра или ребенок умершего кормильца, достигшие 18 лет, если они не работают и </w:t>
      </w:r>
      <w:r w:rsidRPr="000155C5">
        <w:lastRenderedPageBreak/>
        <w:t>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В этом случае право на данный вид страховой пенсии возникает независимо от факта нахождения на иждивении у кормильца.</w:t>
      </w:r>
    </w:p>
    <w:p w:rsidR="000155C5" w:rsidRPr="000155C5" w:rsidRDefault="000155C5" w:rsidP="000155C5">
      <w:pPr>
        <w:pStyle w:val="a7"/>
        <w:shd w:val="clear" w:color="auto" w:fill="FFFFFF"/>
        <w:spacing w:before="0" w:after="150"/>
        <w:jc w:val="both"/>
      </w:pPr>
      <w:r w:rsidRPr="000155C5">
        <w:t>Усыновители имеют право на страховую пенсию по случаю потери кормильца наравне с родителями, а усыновленные дети – наравне с родными детьми.</w:t>
      </w:r>
    </w:p>
    <w:p w:rsidR="000155C5" w:rsidRDefault="000155C5" w:rsidP="000155C5">
      <w:pPr>
        <w:pStyle w:val="a7"/>
        <w:shd w:val="clear" w:color="auto" w:fill="FFFFFF"/>
        <w:spacing w:before="0" w:after="150"/>
        <w:jc w:val="both"/>
      </w:pPr>
      <w:r w:rsidRPr="000155C5">
        <w:t>Отчим и мачеха имеют право на страховую пенсию по случаю потери кормильца наравне с родителями, а пасынок и падчерица – наравне с родными детьми при соблюдении определенных условий.</w:t>
      </w:r>
    </w:p>
    <w:p w:rsidR="000155C5" w:rsidRPr="000155C5" w:rsidRDefault="000155C5" w:rsidP="000155C5">
      <w:pPr>
        <w:shd w:val="clear" w:color="auto" w:fill="FFFFFF"/>
        <w:jc w:val="both"/>
      </w:pPr>
      <w:r w:rsidRPr="000155C5">
        <w:rPr>
          <w:rStyle w:val="text-highlight"/>
          <w:bCs/>
        </w:rPr>
        <w:t>ВАЖНО!</w:t>
      </w:r>
      <w:r w:rsidRPr="000155C5">
        <w:t> пенсионеры, получающие в настоящее время пенсии на счета, открытые в кредитных организациях на территории Российской Федерации, предусматривающие осуществление операций с использованием платежных карт иных платежных систем, будут переведены на национальную платежную систему «МИР» по мере истечения срока действия текущих банковских карт;</w:t>
      </w:r>
    </w:p>
    <w:p w:rsidR="000155C5" w:rsidRPr="000155C5" w:rsidRDefault="000155C5" w:rsidP="000155C5">
      <w:pPr>
        <w:pStyle w:val="a7"/>
        <w:shd w:val="clear" w:color="auto" w:fill="FFFFFF"/>
        <w:spacing w:before="0" w:after="150"/>
        <w:jc w:val="both"/>
      </w:pPr>
      <w:r w:rsidRPr="000155C5">
        <w:t>3. через организацию, занимающуюся доставкой пенсии – вы можете получать пенсию на дому или самостоятельно в этой организации. Полный перечень таких организаций в вашем регионе (в том числе осуществляющих доставку пенсии на дом) есть в распоряжении территориального органа Пенсионного фонда России. Порядок выплаты пенсии через иную организацию, занимающуюся доставкой пенсий, такой же, как через отделение почтовой связи.</w:t>
      </w:r>
    </w:p>
    <w:p w:rsidR="000155C5" w:rsidRPr="000155C5" w:rsidRDefault="000155C5" w:rsidP="000155C5">
      <w:pPr>
        <w:pStyle w:val="a7"/>
        <w:shd w:val="clear" w:color="auto" w:fill="FFFFFF"/>
        <w:spacing w:before="0" w:after="150"/>
        <w:jc w:val="both"/>
        <w:rPr>
          <w:i/>
        </w:rPr>
      </w:pPr>
      <w:r w:rsidRPr="000155C5">
        <w:rPr>
          <w:rStyle w:val="af5"/>
          <w:i w:val="0"/>
        </w:rPr>
        <w:t>Для выбора способа доставки или его изменения, вам необходимо уведомить об этом ПФР, любым удобным для вас способом:</w:t>
      </w:r>
    </w:p>
    <w:p w:rsidR="000155C5" w:rsidRPr="000155C5" w:rsidRDefault="000155C5" w:rsidP="000155C5">
      <w:pPr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i/>
        </w:rPr>
      </w:pPr>
      <w:r w:rsidRPr="000155C5">
        <w:rPr>
          <w:rStyle w:val="af5"/>
          <w:i w:val="0"/>
        </w:rPr>
        <w:t>письменно, подав заявление в территориальный орган ПФР, который назначил вам пенсию (</w:t>
      </w:r>
      <w:hyperlink r:id="rId9" w:history="1">
        <w:r w:rsidRPr="000155C5">
          <w:rPr>
            <w:rStyle w:val="a8"/>
            <w:i/>
            <w:iCs/>
            <w:color w:val="auto"/>
            <w:u w:val="none"/>
          </w:rPr>
          <w:t>бланк заявления на выбор способа доставки пенсии</w:t>
        </w:r>
      </w:hyperlink>
      <w:r w:rsidRPr="000155C5">
        <w:rPr>
          <w:rStyle w:val="af5"/>
          <w:i w:val="0"/>
        </w:rPr>
        <w:t>);</w:t>
      </w:r>
    </w:p>
    <w:p w:rsidR="000155C5" w:rsidRPr="000155C5" w:rsidRDefault="000155C5" w:rsidP="000155C5">
      <w:pPr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</w:pPr>
      <w:r w:rsidRPr="000155C5">
        <w:t>в электронном виде, подав соответствующее заявление через </w:t>
      </w:r>
      <w:hyperlink r:id="rId10" w:anchor="services-f" w:history="1">
        <w:r w:rsidRPr="000155C5">
          <w:rPr>
            <w:rStyle w:val="a8"/>
            <w:color w:val="auto"/>
            <w:u w:val="none"/>
          </w:rPr>
          <w:t>«Личный кабинет гражданина»</w:t>
        </w:r>
      </w:hyperlink>
      <w:r w:rsidRPr="000155C5">
        <w:t> на сайте ПФР «</w:t>
      </w:r>
      <w:hyperlink r:id="rId11" w:history="1">
        <w:r w:rsidRPr="000155C5">
          <w:rPr>
            <w:rStyle w:val="a8"/>
            <w:color w:val="auto"/>
            <w:u w:val="none"/>
          </w:rPr>
          <w:t>Единый портал государственных и муниципальных услуг</w:t>
        </w:r>
      </w:hyperlink>
      <w:r w:rsidRPr="000155C5">
        <w:t> (функций)».</w:t>
      </w:r>
    </w:p>
    <w:p w:rsidR="000155C5" w:rsidRPr="000155C5" w:rsidRDefault="000155C5" w:rsidP="000155C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0155C5">
        <w:rPr>
          <w:lang w:eastAsia="ru-RU"/>
        </w:rPr>
        <w:t xml:space="preserve"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</w:t>
      </w:r>
      <w:proofErr w:type="gramStart"/>
      <w:r w:rsidRPr="000155C5">
        <w:rPr>
          <w:lang w:eastAsia="ru-RU"/>
        </w:rPr>
        <w:t>пенсии</w:t>
      </w:r>
      <w:proofErr w:type="gramEnd"/>
      <w:r w:rsidRPr="000155C5">
        <w:rPr>
          <w:lang w:eastAsia="ru-RU"/>
        </w:rPr>
        <w:t xml:space="preserve"> возможно производить как на его имя, так и на имя его законного представителя (родителя, усыновителя, опекуна, попечителя).</w:t>
      </w:r>
    </w:p>
    <w:p w:rsidR="000155C5" w:rsidRPr="000155C5" w:rsidRDefault="000155C5" w:rsidP="000155C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0155C5">
        <w:rPr>
          <w:lang w:eastAsia="ru-RU"/>
        </w:rPr>
        <w:t xml:space="preserve">Таким образом, если получателем пенсии </w:t>
      </w:r>
      <w:proofErr w:type="gramStart"/>
      <w:r w:rsidRPr="000155C5">
        <w:rPr>
          <w:lang w:eastAsia="ru-RU"/>
        </w:rPr>
        <w:t>является ребенок в возрасте до 18 лет доставка пенсии может</w:t>
      </w:r>
      <w:proofErr w:type="gramEnd"/>
      <w:r w:rsidRPr="000155C5">
        <w:rPr>
          <w:lang w:eastAsia="ru-RU"/>
        </w:rPr>
        <w:t xml:space="preserve">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 w:rsidR="000155C5" w:rsidRPr="00942365" w:rsidRDefault="000155C5" w:rsidP="00942365">
      <w:pPr>
        <w:shd w:val="clear" w:color="auto" w:fill="FFFFFF"/>
        <w:suppressAutoHyphens w:val="0"/>
        <w:spacing w:after="150"/>
        <w:jc w:val="both"/>
        <w:rPr>
          <w:lang w:eastAsia="ru-RU"/>
        </w:rPr>
      </w:pPr>
      <w:r w:rsidRPr="000155C5">
        <w:rPr>
          <w:lang w:eastAsia="ru-RU"/>
        </w:rPr>
        <w:t>При этом суммы пенсий, причитающиеся несовершеннолетнему 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  <w:r w:rsidR="00942365">
        <w:rPr>
          <w:lang w:eastAsia="ru-RU"/>
        </w:rPr>
        <w:t xml:space="preserve"> </w:t>
      </w:r>
      <w:r w:rsidRPr="000155C5">
        <w:rPr>
          <w:lang w:eastAsia="ru-RU"/>
        </w:rPr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  <w:r w:rsidR="00942365">
        <w:rPr>
          <w:lang w:eastAsia="ru-RU"/>
        </w:rPr>
        <w:t xml:space="preserve"> </w:t>
      </w:r>
      <w:r w:rsidRPr="000155C5">
        <w:rPr>
          <w:lang w:eastAsia="ru-RU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sectPr w:rsidR="000155C5" w:rsidRPr="00942365" w:rsidSect="00D67713">
      <w:headerReference w:type="default" r:id="rId12"/>
      <w:footerReference w:type="default" r:id="rId13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5B" w:rsidRDefault="00C2735B">
      <w:r>
        <w:separator/>
      </w:r>
    </w:p>
  </w:endnote>
  <w:endnote w:type="continuationSeparator" w:id="0">
    <w:p w:rsidR="00C2735B" w:rsidRDefault="00C2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F57AA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5B" w:rsidRDefault="00C2735B">
      <w:r>
        <w:separator/>
      </w:r>
    </w:p>
  </w:footnote>
  <w:footnote w:type="continuationSeparator" w:id="0">
    <w:p w:rsidR="00C2735B" w:rsidRDefault="00C2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0F57AA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7093D"/>
    <w:multiLevelType w:val="multilevel"/>
    <w:tmpl w:val="3C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020A66"/>
    <w:multiLevelType w:val="multilevel"/>
    <w:tmpl w:val="480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25C39"/>
    <w:multiLevelType w:val="multilevel"/>
    <w:tmpl w:val="5F1E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5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5C5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7AA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2365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2735B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20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49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55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files/id/zhiznsit/pens/2016/Zayavlenie_o_dostavke_pensii-2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07D8-21CC-4E38-83DF-66884B4D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2019-08-16T11:01:00Z</dcterms:created>
  <dcterms:modified xsi:type="dcterms:W3CDTF">2019-08-16T11:01:00Z</dcterms:modified>
</cp:coreProperties>
</file>