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 xml:space="preserve">старшему </w:t>
      </w:r>
      <w:r>
        <w:t>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  <w:jc w:val="center"/>
      </w:pPr>
    </w:p>
    <w:p w14:paraId="0B000000">
      <w:pPr>
        <w:widowControl w:val="1"/>
        <w:spacing w:line="240" w:lineRule="exact"/>
        <w:ind/>
        <w:jc w:val="center"/>
      </w:pPr>
    </w:p>
    <w:p w14:paraId="0C000000">
      <w:pPr>
        <w:widowControl w:val="1"/>
        <w:ind w:right="4959"/>
      </w:pPr>
      <w:r>
        <w:t>Информация в рамках правового просвещения</w:t>
      </w:r>
    </w:p>
    <w:p w14:paraId="0D000000">
      <w:pPr>
        <w:widowControl w:val="1"/>
        <w:ind/>
        <w:jc w:val="both"/>
      </w:pPr>
    </w:p>
    <w:p w14:paraId="0E000000">
      <w:pPr>
        <w:widowControl w:val="1"/>
        <w:spacing w:line="240" w:lineRule="exact"/>
        <w:ind w:firstLine="708"/>
        <w:jc w:val="center"/>
        <w:rPr>
          <w:b w:val="1"/>
        </w:rPr>
      </w:pPr>
      <w:r>
        <w:rPr>
          <w:b w:val="1"/>
        </w:rPr>
        <w:t>Виды ответственности за нанесение побоев</w:t>
      </w:r>
    </w:p>
    <w:p w14:paraId="0F000000">
      <w:pPr>
        <w:widowControl w:val="1"/>
        <w:spacing w:line="240" w:lineRule="exact"/>
        <w:ind w:firstLine="708"/>
        <w:jc w:val="both"/>
      </w:pPr>
    </w:p>
    <w:p w14:paraId="10000000">
      <w:pPr>
        <w:widowControl w:val="1"/>
        <w:ind w:firstLine="708"/>
        <w:jc w:val="both"/>
      </w:pPr>
      <w:r>
        <w:t>За побои предусмотрена как административная, так и уголовная ответственность.</w:t>
      </w:r>
    </w:p>
    <w:p w14:paraId="11000000">
      <w:pPr>
        <w:widowControl w:val="1"/>
        <w:ind w:firstLine="708"/>
        <w:jc w:val="both"/>
      </w:pPr>
      <w:r>
        <w:t>Административная ответственность наступает в случаях, когда побои нанесены впервые и не повлекли за собой вреда здоровью, т.е. причинили физическую боль, но не вызвали кратковременного расстройства здоровья или незначительной стойкой утраты общей трудоспос</w:t>
      </w:r>
      <w:r>
        <w:t>обности.</w:t>
      </w:r>
    </w:p>
    <w:p w14:paraId="12000000">
      <w:pPr>
        <w:widowControl w:val="1"/>
        <w:ind w:firstLine="708"/>
        <w:jc w:val="both"/>
      </w:pPr>
      <w:r>
        <w:t>Такие деяния подпадают под действие ст. 6.1.1 Кодекса Российской Федерации об административных правонарушениях с наказанием в виде штрафа до 30 тыс. руб., административного ареста до 15 суток, либо о</w:t>
      </w:r>
      <w:r>
        <w:t>бязательных работ до 120 часов.</w:t>
      </w:r>
    </w:p>
    <w:p w14:paraId="13000000">
      <w:pPr>
        <w:widowControl w:val="1"/>
        <w:ind w:firstLine="708"/>
        <w:jc w:val="both"/>
      </w:pPr>
      <w:r>
        <w:t xml:space="preserve">Уголовная ответственность за побои наступает в случаях нанесения </w:t>
      </w:r>
      <w:r>
        <w:t>лицом, ранее подвергнутым административному наказанию и год с момента вступления административного постановления в силу не истек</w:t>
      </w:r>
      <w:r>
        <w:t xml:space="preserve"> или причиненных из хулиганских побуждений по мотивам политической, идеологической, расовой, национальной или религиозной ненависти, в </w:t>
      </w:r>
      <w:r>
        <w:t>т.ч</w:t>
      </w:r>
      <w:r>
        <w:t>. в отношени</w:t>
      </w:r>
      <w:r>
        <w:t>и какой-либо социальной группы.</w:t>
      </w:r>
    </w:p>
    <w:p w14:paraId="14000000">
      <w:pPr>
        <w:widowControl w:val="1"/>
        <w:ind w:firstLine="708"/>
        <w:jc w:val="both"/>
      </w:pPr>
      <w:r>
        <w:t xml:space="preserve">Наказание за подобные действия наступает по ст. 116 Уголовного кодекса РФ и максимально может быть назначено </w:t>
      </w:r>
      <w:r>
        <w:t>в виде 2-х лет лишения свободы.</w:t>
      </w:r>
    </w:p>
    <w:p w14:paraId="15000000">
      <w:pPr>
        <w:widowControl w:val="1"/>
        <w:ind w:firstLine="708"/>
        <w:jc w:val="both"/>
      </w:pPr>
      <w:r>
        <w:t xml:space="preserve">Если же в результате побоев причинен вред здоровью, повлекший кратковременное расстройство здоровья или незначительную стойкую утрату общей трудоспособности – такие действия квалифицируются ст. 115 УК РФ, предусматривающей ответственность за умышленное причинение </w:t>
      </w:r>
      <w:r>
        <w:t>легкого вреда здоровью.</w:t>
      </w:r>
    </w:p>
    <w:p w14:paraId="16000000">
      <w:pPr>
        <w:widowControl w:val="1"/>
        <w:ind w:firstLine="708"/>
        <w:jc w:val="both"/>
      </w:pPr>
      <w:r>
        <w:t>Помимо административной и уголовной ответственности виновный может быть привлечен судом к гражданско-правовой ответс</w:t>
      </w:r>
      <w:r>
        <w:t>твенности по иску потерпевшего.</w:t>
      </w:r>
    </w:p>
    <w:p w14:paraId="17000000">
      <w:pPr>
        <w:widowControl w:val="1"/>
        <w:ind w:firstLine="708"/>
        <w:jc w:val="both"/>
      </w:pPr>
      <w:r>
        <w:t>Удовлетворение иска означает обязанность виновного компенсировать расходы на лечение, утраченный заработок, а также возместить моральный вред, то есть физические и нравственные страд</w:t>
      </w:r>
      <w:r>
        <w:t>ания, причиненные потерпевшему.</w:t>
      </w:r>
    </w:p>
    <w:p w14:paraId="18000000">
      <w:pPr>
        <w:widowControl w:val="1"/>
        <w:ind w:firstLine="708"/>
        <w:jc w:val="both"/>
      </w:pPr>
      <w:r>
        <w:t>Размер компенсации определяется судом исходя из всех об</w:t>
      </w:r>
      <w:r>
        <w:t>стоятельств дела.</w:t>
      </w:r>
    </w:p>
    <w:p w14:paraId="19000000">
      <w:pPr>
        <w:widowControl w:val="1"/>
        <w:ind w:firstLine="708"/>
        <w:jc w:val="both"/>
      </w:pPr>
      <w:r>
        <w:tab/>
      </w:r>
    </w:p>
    <w:p w14:paraId="1A000000">
      <w:pPr>
        <w:widowControl w:val="1"/>
        <w:spacing w:line="240" w:lineRule="exact"/>
        <w:ind/>
        <w:jc w:val="both"/>
      </w:pPr>
      <w:bookmarkStart w:id="1" w:name="_GoBack"/>
      <w:bookmarkEnd w:id="1"/>
      <w:r>
        <w:t>Старший 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B000000">
      <w:pPr>
        <w:widowControl w:val="1"/>
        <w:spacing w:line="240" w:lineRule="exact"/>
        <w:ind/>
        <w:jc w:val="both"/>
      </w:pPr>
    </w:p>
    <w:p w14:paraId="1C000000">
      <w:pPr>
        <w:widowControl w:val="1"/>
        <w:spacing w:line="240" w:lineRule="exact"/>
        <w:ind/>
        <w:jc w:val="both"/>
      </w:pPr>
      <w:r>
        <w:t xml:space="preserve">юрист </w:t>
      </w:r>
      <w:r>
        <w:t>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</w:t>
      </w:r>
      <w:r>
        <w:t xml:space="preserve">   </w:t>
      </w:r>
      <w:r>
        <w:t xml:space="preserve">   </w:t>
      </w:r>
      <w:r>
        <w:t xml:space="preserve"> </w:t>
      </w:r>
      <w:r>
        <w:t>Ж.Р. Кайтмазова</w:t>
      </w:r>
    </w:p>
    <w:sectPr>
      <w:headerReference r:id="rId2" w:type="default"/>
      <w:headerReference r:id="rId1" w:type="even"/>
      <w:pgSz w:h="16838" w:orient="portrait" w:w="11906"/>
      <w:pgMar w:bottom="0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1000000">
    <w:pPr>
      <w:pStyle w:val="Style_1"/>
      <w:rPr>
        <w:sz w:val="23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rmal (Web)"/>
    <w:basedOn w:val="Style_3"/>
    <w:link w:val="Style_5_ch"/>
    <w:pPr>
      <w:widowControl w:val="1"/>
      <w:spacing w:afterAutospacing="on" w:beforeAutospacing="on"/>
      <w:ind/>
    </w:pPr>
    <w:rPr>
      <w:sz w:val="24"/>
    </w:rPr>
  </w:style>
  <w:style w:styleId="Style_5_ch" w:type="character">
    <w:name w:val="Normal (Web)"/>
    <w:basedOn w:val="Style_3_ch"/>
    <w:link w:val="Style_5"/>
    <w:rPr>
      <w:sz w:val="24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Nonformat"/>
    <w:link w:val="Style_1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Nonformat"/>
    <w:link w:val="Style_15"/>
    <w:rPr>
      <w:rFonts w:ascii="Courier New" w:hAnsi="Courier New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List Paragraph"/>
    <w:basedOn w:val="Style_3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24" w:type="paragraph">
    <w:name w:val="toc 5"/>
    <w:next w:val="Style_3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footer"/>
    <w:basedOn w:val="Style_3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3_ch"/>
    <w:link w:val="Style_25"/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Title"/>
    <w:next w:val="Style_3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Emphasis"/>
    <w:basedOn w:val="Style_21"/>
    <w:link w:val="Style_30_ch"/>
    <w:rPr>
      <w:i w:val="1"/>
    </w:rPr>
  </w:style>
  <w:style w:styleId="Style_30_ch" w:type="character">
    <w:name w:val="Emphasis"/>
    <w:basedOn w:val="Style_21_ch"/>
    <w:link w:val="Style_30"/>
    <w:rPr>
      <w:i w:val="1"/>
    </w:rPr>
  </w:style>
  <w:style w:styleId="Style_31" w:type="paragraph">
    <w:name w:val="heading 2"/>
    <w:next w:val="Style_3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2026-02-02T13:49:54Z</dcterms:modified>
</cp:coreProperties>
</file>