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 xml:space="preserve">старшему </w:t>
      </w:r>
      <w:r>
        <w:t>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 Р.А.</w:t>
      </w:r>
    </w:p>
    <w:p w14:paraId="0A000000">
      <w:pPr>
        <w:widowControl w:val="1"/>
        <w:spacing w:line="240" w:lineRule="exact"/>
        <w:ind/>
      </w:pPr>
    </w:p>
    <w:p w14:paraId="0B000000">
      <w:pPr>
        <w:widowControl w:val="1"/>
        <w:spacing w:line="240" w:lineRule="exact"/>
        <w:ind/>
      </w:pPr>
    </w:p>
    <w:p w14:paraId="0C000000">
      <w:pPr>
        <w:widowControl w:val="1"/>
        <w:spacing w:line="240" w:lineRule="exact"/>
        <w:ind/>
      </w:pPr>
    </w:p>
    <w:p w14:paraId="0D000000">
      <w:pPr>
        <w:widowControl w:val="1"/>
        <w:spacing w:line="240" w:lineRule="exact"/>
        <w:ind/>
      </w:pPr>
    </w:p>
    <w:p w14:paraId="0E000000">
      <w:pPr>
        <w:widowControl w:val="1"/>
        <w:ind w:right="4959"/>
      </w:pPr>
      <w:r>
        <w:t>Информация в рамках правового просвещения</w:t>
      </w:r>
    </w:p>
    <w:p w14:paraId="0F000000">
      <w:pPr>
        <w:widowControl w:val="1"/>
        <w:spacing w:line="240" w:lineRule="exact"/>
        <w:ind w:firstLine="708"/>
        <w:jc w:val="both"/>
      </w:pPr>
    </w:p>
    <w:p w14:paraId="10000000">
      <w:pPr>
        <w:widowControl w:val="1"/>
        <w:ind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Особенности уголовно-правовой охраны права на свободу совести и вероисповеданий </w:t>
      </w:r>
    </w:p>
    <w:p w14:paraId="11000000">
      <w:pPr>
        <w:widowControl w:val="1"/>
        <w:ind/>
        <w:jc w:val="both"/>
        <w:rPr>
          <w:color w:val="000000"/>
        </w:rPr>
      </w:pPr>
    </w:p>
    <w:p w14:paraId="12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 xml:space="preserve">Право на свободу совести и вероисповедания относится к особо значимым правам и свободам, данное право закреплено в Конституции Российской Федерации, где в статье 28 указано, что каждому гарантируется свобода совести, свобода вероисповедания, либо не исповедовать никакой, что также закреплено в Федеральном законе от 26.09.1997 № 125 «О свободе совести и о религиозных объединениях». </w:t>
      </w:r>
    </w:p>
    <w:p w14:paraId="13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 xml:space="preserve">Кроме того, Конституция Российской Федерации не допускает экстремистских проявлений, таких как пропаганда или агитация, возбуждающие социальную, расовую, национальную или религиозную ненависть, или вражду. </w:t>
      </w:r>
    </w:p>
    <w:p w14:paraId="14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Запрещены пропаганда социального, расового, национального, религиозного или языкового превосходства (статья 29 Конституции РФ).</w:t>
      </w:r>
    </w:p>
    <w:p w14:paraId="15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Запрещено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 (статья 13 Конституции РФ).</w:t>
      </w:r>
    </w:p>
    <w:p w14:paraId="16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Запрещены любые формы ограничения прав граждан по признакам социальной, расовой, национальной, языковой или религиозной принадлежности (статья 19 Конституции РФ).</w:t>
      </w:r>
    </w:p>
    <w:p w14:paraId="17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Нарушение законодательства о свободе совести, свободе вероисповедания и о религиозных объединениях, включая воспрепятствование осуществлению права на свободу совести и свободу вероисповедания, умышленное публичное осквернение религиозной или богослужебной литературы, предметов религиозного почитания, знаков или эмблем мировоззренческой символики и атрибутики либо их порча или уничтожение, осуществление миссионерской деятельности с нарушением требований законодательства, в соответствии с положениями статьи 5.26 КоАП РФ влечет административную ответственность.</w:t>
      </w:r>
    </w:p>
    <w:p w14:paraId="18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Публичные действия, выражающие явное неуважение к обществу и совершенные в целях оскорбления религиозных чувств верующих, включая совершение таких действий в местах, специально предназначенных для проведения богослужений, других религиозных обрядов и церемоний, влечет уголовную ответственность, предусмотренную статьей 148 Уголовного кодекса РФ.</w:t>
      </w:r>
    </w:p>
    <w:p w14:paraId="19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Статьей 14 Уголовно-исполнительного кодекса РФ гарантированы свобода совести и свобода вероисповедания осужденным. Они вправе исповедовать любую религию либо не исповедовать никакой религии, свободно выбирать, иметь и распространять религиозные убеждения и действовать в соответствии с ними, не нарушая правил внутреннего распорядка учреждения, исполняющего наказания, а, также, не ущемляя права других лиц.</w:t>
      </w:r>
    </w:p>
    <w:p w14:paraId="1A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Положениями статьи 8 Федерального закона от 27.05.1998 № 76-ФЗ «О статусе военнослужащих» установлено, что военнослужащие в свободное от военной службы время вправе участвовать в богослужениях и религиозных церемониях как частные лица.</w:t>
      </w:r>
    </w:p>
    <w:p w14:paraId="1B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В соответствии с п.11 ч.5 ст.19 Федерального закона от 21.11.2011 № 323-ФЗ «Об основах охраны здоровья граждан в Российской Федерации» при оказании медицинской помощи пациент имеет право на допуск к нему священнослужителя и осуществление религиозных обрядов в лечебно-профилактических и больничных организациях по просьбам стационарно находящихся в них граждан в помещениях, специально выделяемых администрацией для этих целей, если это не нарушает распорядок медицинской организации.</w:t>
      </w:r>
    </w:p>
    <w:p w14:paraId="1C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 xml:space="preserve">При нарушении прав граждан на свободу совести и вероисповедания по заявлению гражданина Следственный комитет Российской Федерации обязан провести проверку и принять решение о наличии в действиях лица состава преступления. По результатам чего принять решение об отказе в возбуждении уголовного дела или о возбуждении уголовного дела. </w:t>
      </w:r>
    </w:p>
    <w:p w14:paraId="1D000000">
      <w:pPr>
        <w:widowControl w:val="1"/>
        <w:spacing w:line="240" w:lineRule="exact"/>
        <w:ind/>
        <w:jc w:val="both"/>
        <w:rPr>
          <w:color w:val="000000"/>
        </w:rPr>
      </w:pPr>
    </w:p>
    <w:p w14:paraId="1E000000">
      <w:pPr>
        <w:widowControl w:val="1"/>
        <w:spacing w:line="240" w:lineRule="exact"/>
        <w:ind/>
        <w:jc w:val="both"/>
      </w:pPr>
    </w:p>
    <w:p w14:paraId="1F000000">
      <w:pPr>
        <w:widowControl w:val="1"/>
        <w:spacing w:line="240" w:lineRule="exact"/>
        <w:ind/>
        <w:jc w:val="both"/>
      </w:pPr>
    </w:p>
    <w:p w14:paraId="20000000">
      <w:pPr>
        <w:widowControl w:val="1"/>
        <w:spacing w:line="240" w:lineRule="exact"/>
        <w:ind/>
        <w:jc w:val="both"/>
      </w:pPr>
      <w:r>
        <w:t>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21000000">
      <w:pPr>
        <w:widowControl w:val="1"/>
        <w:spacing w:line="240" w:lineRule="exact"/>
        <w:ind/>
        <w:jc w:val="both"/>
      </w:pPr>
    </w:p>
    <w:p w14:paraId="22000000">
      <w:pPr>
        <w:widowControl w:val="1"/>
        <w:spacing w:line="240" w:lineRule="exact"/>
        <w:ind/>
        <w:jc w:val="both"/>
      </w:pPr>
      <w:r>
        <w:t xml:space="preserve">юрист </w:t>
      </w:r>
      <w:r>
        <w:t>3</w:t>
      </w:r>
      <w:bookmarkStart w:id="1" w:name="_GoBack"/>
      <w:bookmarkEnd w:id="1"/>
      <w:r>
        <w:t xml:space="preserve"> </w:t>
      </w:r>
      <w:r>
        <w:t xml:space="preserve">класса                            </w:t>
      </w:r>
      <w:r>
        <w:t xml:space="preserve">                                                  </w:t>
      </w:r>
      <w:r>
        <w:t xml:space="preserve">  </w:t>
      </w:r>
      <w:r>
        <w:t xml:space="preserve"> </w:t>
      </w:r>
      <w:r>
        <w:t>Ж.Р. Кайтмазова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3000000">
    <w:pPr>
      <w:pStyle w:val="Style_1"/>
      <w:rPr>
        <w:sz w:val="23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Nonformat"/>
    <w:link w:val="Style_1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Nonformat"/>
    <w:link w:val="Style_14"/>
    <w:rPr>
      <w:rFonts w:ascii="Courier New" w:hAnsi="Courier New"/>
      <w:sz w:val="20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Emphasis"/>
    <w:basedOn w:val="Style_11"/>
    <w:link w:val="Style_22_ch"/>
    <w:rPr>
      <w:i w:val="1"/>
    </w:rPr>
  </w:style>
  <w:style w:styleId="Style_22_ch" w:type="character">
    <w:name w:val="Emphasis"/>
    <w:basedOn w:val="Style_11_ch"/>
    <w:link w:val="Style_22"/>
    <w:rPr>
      <w:i w:val="1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6" w:type="paragraph">
    <w:name w:val="Основной текст1"/>
    <w:basedOn w:val="Style_3"/>
    <w:link w:val="Style_26_ch"/>
    <w:pPr>
      <w:widowControl w:val="1"/>
      <w:spacing w:after="120" w:line="242" w:lineRule="exact"/>
      <w:ind/>
    </w:pPr>
    <w:rPr>
      <w:sz w:val="27"/>
    </w:rPr>
  </w:style>
  <w:style w:styleId="Style_26_ch" w:type="character">
    <w:name w:val="Основной текст1"/>
    <w:basedOn w:val="Style_3_ch"/>
    <w:link w:val="Style_26"/>
    <w:rPr>
      <w:sz w:val="27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List Paragraph"/>
    <w:basedOn w:val="Style_3"/>
    <w:link w:val="Style_28_ch"/>
    <w:pPr>
      <w:widowControl w:val="1"/>
      <w:ind w:left="720"/>
      <w:contextualSpacing w:val="1"/>
    </w:pPr>
  </w:style>
  <w:style w:styleId="Style_28_ch" w:type="character">
    <w:name w:val="List Paragraph"/>
    <w:basedOn w:val="Style_3_ch"/>
    <w:link w:val="Style_28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Normal (Web)"/>
    <w:basedOn w:val="Style_3"/>
    <w:link w:val="Style_31_ch"/>
    <w:pPr>
      <w:widowControl w:val="1"/>
      <w:spacing w:afterAutospacing="on" w:beforeAutospacing="on"/>
      <w:ind/>
    </w:pPr>
    <w:rPr>
      <w:sz w:val="24"/>
    </w:rPr>
  </w:style>
  <w:style w:styleId="Style_31_ch" w:type="character">
    <w:name w:val="Normal (Web)"/>
    <w:basedOn w:val="Style_3_ch"/>
    <w:link w:val="Style_31"/>
    <w:rPr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2026-02-17T08:52:21Z</dcterms:modified>
</cp:coreProperties>
</file>