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E14C2B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E14C2B" w:rsidRPr="00E14C2B" w:rsidRDefault="00E14C2B" w:rsidP="00E14C2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E14C2B">
        <w:rPr>
          <w:rFonts w:ascii="Tms Rmn" w:hAnsi="Tms Rmn" w:cs="Tms Rmn"/>
          <w:b/>
          <w:bCs/>
          <w:color w:val="000000"/>
          <w:lang w:eastAsia="ru-RU"/>
        </w:rPr>
        <w:t>Создай учетную запись через банк!</w:t>
      </w:r>
    </w:p>
    <w:p w:rsidR="00E14C2B" w:rsidRDefault="00E14C2B" w:rsidP="00E14C2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Электронные сервисы ПФР открывают возможность к быстрому и удобному способу обращения в Пенсионный фонд без очередей и ожидания. В настоящее время по ряду услуг можно заполнить и отправить в электронной форме заявление на получение услуги, либо получить информацию из ПФР в режиме онлайн на официальном сайте ПФР или используя Единый портал государственных и муниципальных услуг (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www.gosuslugi.ru</w:t>
        </w:r>
      </w:hyperlink>
      <w:r>
        <w:rPr>
          <w:rFonts w:ascii="Tms Rmn" w:hAnsi="Tms Rmn" w:cs="Tms Rmn"/>
          <w:color w:val="000000"/>
          <w:lang w:eastAsia="ru-RU"/>
        </w:rPr>
        <w:t>).</w:t>
      </w:r>
    </w:p>
    <w:p w:rsidR="00E14C2B" w:rsidRDefault="00E14C2B" w:rsidP="00E14C2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Государственные услуги ПФР на Едином портале и в Личном кабинете гражданина на сайте ПФР доступны для всех пользователей ЕПГУ – физических лиц, имеющих подтвержденную учетную запись.</w:t>
      </w:r>
    </w:p>
    <w:p w:rsidR="00C26B3F" w:rsidRPr="00E14C2B" w:rsidRDefault="00E14C2B" w:rsidP="00E14C2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клиентов банков: Сбербанк, Тинькофф и Почта Банк – открыта новая возможность. Они могут создать учетную запись государственных услуг онлайн в интернет-банках: «Сбербанк Онлайн», веб версии Тинькофф, а также интернет-банке Почта Банк. После проверки данных клиент перечисленных банков сразу получит «Подтвержденную учетную запись» без необходимости очного посещения отделения банка или Центра обслуживания.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  <w:r>
        <w:rPr>
          <w:rFonts w:ascii="Tms Rmn" w:hAnsi="Tms Rmn" w:cs="Tms Rmn"/>
          <w:color w:val="000000"/>
          <w:lang w:eastAsia="ru-RU"/>
        </w:rPr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sectPr w:rsidR="00C26B3F" w:rsidRPr="00E14C2B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5D" w:rsidRDefault="00F7045D">
      <w:r>
        <w:separator/>
      </w:r>
    </w:p>
  </w:endnote>
  <w:endnote w:type="continuationSeparator" w:id="1">
    <w:p w:rsidR="00F7045D" w:rsidRDefault="00F7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F169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5D" w:rsidRDefault="00F7045D">
      <w:r>
        <w:separator/>
      </w:r>
    </w:p>
  </w:footnote>
  <w:footnote w:type="continuationSeparator" w:id="1">
    <w:p w:rsidR="00F7045D" w:rsidRDefault="00F7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F169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63F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1694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0A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393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125B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338A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C2B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172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045D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1F1A-F59E-4DAF-8BAB-C84944AA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2019-06-27T13:54:00Z</dcterms:created>
  <dcterms:modified xsi:type="dcterms:W3CDTF">2019-06-27T13:54:00Z</dcterms:modified>
</cp:coreProperties>
</file>