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08" w:rsidRDefault="00695F08">
      <w:pPr>
        <w:jc w:val="both"/>
        <w:rPr>
          <w:rFonts w:ascii="Segoe UI" w:hAnsi="Segoe UI" w:cs="Segoe UI"/>
          <w:b/>
          <w:bCs/>
          <w:color w:val="006FB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57pt" filled="t">
            <v:fill color2="black"/>
            <v:imagedata r:id="rId4" o:title="" croptop="12587f" cropbottom="13560f"/>
          </v:shape>
        </w:pict>
      </w:r>
    </w:p>
    <w:p w:rsidR="00695F08" w:rsidRDefault="00695F08">
      <w:pPr>
        <w:jc w:val="center"/>
        <w:rPr>
          <w:rFonts w:ascii="Segoe UI" w:hAnsi="Segoe UI" w:cs="Segoe UI"/>
          <w:bCs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bCs/>
          <w:color w:val="006FB0"/>
          <w:sz w:val="32"/>
          <w:szCs w:val="32"/>
          <w:shd w:val="clear" w:color="auto" w:fill="FFFFFF"/>
        </w:rPr>
        <w:t>Вопрос-ответ: общая долевая собственность</w:t>
      </w:r>
    </w:p>
    <w:p w:rsidR="00695F08" w:rsidRDefault="00695F08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Cs/>
          <w:color w:val="000000"/>
          <w:sz w:val="28"/>
          <w:szCs w:val="28"/>
          <w:shd w:val="clear" w:color="auto" w:fill="FFFFFF"/>
        </w:rPr>
        <w:t>Управление Росреестра по Санкт-Петербургу провело горячую телефонную линию об особенностях государственной регистрации права общей долевой собственности на недвижимое имущество.</w:t>
      </w:r>
    </w:p>
    <w:p w:rsidR="00695F08" w:rsidRDefault="00695F08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Приводим некоторые ответы на вопросы.</w:t>
      </w:r>
    </w:p>
    <w:p w:rsidR="00695F08" w:rsidRDefault="00695F08">
      <w:pPr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Вопрос: Мне необходимо выделить доли супругу и детям в праве собственности на квартиру, приобретенную с использованием средств материнского капитала. В какой форме должно быть заключено соглашение о выделении долей?</w:t>
      </w:r>
    </w:p>
    <w:p w:rsidR="00695F08" w:rsidRDefault="00695F08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Ответ: </w:t>
      </w:r>
      <w:r>
        <w:rPr>
          <w:rFonts w:ascii="Segoe UI" w:hAnsi="Segoe UI" w:cs="Segoe UI"/>
          <w:sz w:val="28"/>
          <w:szCs w:val="28"/>
        </w:rPr>
        <w:t>Такое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соглашение должно быть заключено в нотариальной форме.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</w:p>
    <w:p w:rsidR="00695F08" w:rsidRDefault="00695F08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Согласно 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статье 34</w:t>
      </w:r>
      <w:r>
        <w:rPr>
          <w:rFonts w:ascii="Segoe UI" w:hAnsi="Segoe UI" w:cs="Segoe UI"/>
          <w:sz w:val="28"/>
          <w:szCs w:val="28"/>
        </w:rPr>
        <w:t xml:space="preserve"> Семейного кодекса Российской Федерации имущество, нажитое супругами во время брака, является их совместной собственностью. Общее имущество супругов может быть разделено между супругами по их соглашению, которое подлежит нотариальному удостоверению (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статья 38</w:t>
      </w:r>
      <w:r>
        <w:rPr>
          <w:rFonts w:ascii="Segoe UI" w:hAnsi="Segoe UI" w:cs="Segoe UI"/>
          <w:sz w:val="28"/>
          <w:szCs w:val="28"/>
        </w:rPr>
        <w:t xml:space="preserve"> Семейного кодекса Российской Федерации). Определение долей при разделе общего имущества супругов регулируется 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статьей 39</w:t>
      </w:r>
      <w:r>
        <w:rPr>
          <w:rFonts w:ascii="Segoe UI" w:hAnsi="Segoe UI" w:cs="Segoe UI"/>
          <w:sz w:val="28"/>
          <w:szCs w:val="28"/>
        </w:rPr>
        <w:t xml:space="preserve"> Семейного кодекса Российской Федерации.</w:t>
      </w:r>
    </w:p>
    <w:p w:rsidR="00695F08" w:rsidRDefault="00695F08">
      <w:pPr>
        <w:spacing w:after="0"/>
        <w:ind w:firstLine="567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Однако, денежные выплаты, имеющие специальное целевое назначение, к которым относятся и средства материнского капитала, не могут рассматриваться как совместно нажитое имущество супругов (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пункт 2 статьи 34</w:t>
      </w:r>
      <w:r>
        <w:rPr>
          <w:rFonts w:ascii="Segoe UI" w:hAnsi="Segoe UI" w:cs="Segoe UI"/>
          <w:sz w:val="28"/>
          <w:szCs w:val="28"/>
        </w:rPr>
        <w:t xml:space="preserve"> Семейного кодекса Российской Федерации).</w:t>
      </w:r>
    </w:p>
    <w:p w:rsidR="00695F08" w:rsidRDefault="00695F08">
      <w:pPr>
        <w:spacing w:after="0"/>
        <w:ind w:firstLine="567"/>
        <w:jc w:val="both"/>
      </w:pPr>
      <w:r>
        <w:rPr>
          <w:rFonts w:ascii="Segoe UI" w:hAnsi="Segoe UI" w:cs="Segoe UI"/>
          <w:sz w:val="28"/>
          <w:szCs w:val="28"/>
        </w:rPr>
        <w:t xml:space="preserve">Таким образом, при определении долей в праве собственности на жилое помещение, приобретенное не только за счет средств материнского капитала, заключаемое соглашение может также содержать элементы соглашения о разделе общего имущества супругов. В таком случае руководствоваться следует 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частью 4 статьи 10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lastRenderedPageBreak/>
        <w:t xml:space="preserve">Федерального закона "О дополнительных мерах государственной поддержки семей, имеющих детей", а также 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статьями 38</w:t>
      </w:r>
      <w:r>
        <w:rPr>
          <w:rFonts w:ascii="Segoe UI" w:hAnsi="Segoe UI" w:cs="Segoe UI"/>
          <w:sz w:val="28"/>
          <w:szCs w:val="28"/>
        </w:rPr>
        <w:t xml:space="preserve">, 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39</w:t>
      </w:r>
      <w:r>
        <w:rPr>
          <w:rFonts w:ascii="Segoe UI" w:hAnsi="Segoe UI" w:cs="Segoe UI"/>
          <w:sz w:val="28"/>
          <w:szCs w:val="28"/>
        </w:rPr>
        <w:t xml:space="preserve"> Семейного кодекса Российской Федерации. То есть </w:t>
      </w:r>
      <w:r>
        <w:rPr>
          <w:rFonts w:ascii="Segoe UI" w:hAnsi="Segoe UI" w:cs="Segoe UI"/>
          <w:color w:val="006FB0"/>
          <w:sz w:val="28"/>
          <w:szCs w:val="28"/>
        </w:rPr>
        <w:t>соглашение должно быть заключено в нотариальной форме.</w:t>
      </w:r>
    </w:p>
    <w:p w:rsidR="00695F08" w:rsidRDefault="00695F08">
      <w:pPr>
        <w:spacing w:after="0"/>
        <w:ind w:firstLine="567"/>
        <w:jc w:val="both"/>
      </w:pPr>
    </w:p>
    <w:p w:rsidR="00695F08" w:rsidRDefault="00695F08">
      <w:pPr>
        <w:spacing w:after="0"/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Вопрос: Установлен ли законом размер долей в праве собственности на жилое помещение, приобретенное с использованием средств материнского капитала?</w:t>
      </w:r>
    </w:p>
    <w:p w:rsidR="00695F08" w:rsidRDefault="00695F08">
      <w:pPr>
        <w:spacing w:after="0"/>
        <w:jc w:val="both"/>
        <w:rPr>
          <w:rStyle w:val="a3"/>
          <w:rFonts w:ascii="Segoe UI" w:hAnsi="Segoe UI" w:cs="Segoe UI"/>
          <w:color w:val="auto"/>
          <w:sz w:val="28"/>
          <w:szCs w:val="28"/>
          <w:u w:val="none"/>
        </w:rPr>
      </w:pPr>
      <w:r>
        <w:rPr>
          <w:rFonts w:ascii="Segoe UI" w:hAnsi="Segoe UI" w:cs="Segoe UI"/>
          <w:b/>
          <w:bCs/>
          <w:sz w:val="28"/>
          <w:szCs w:val="28"/>
        </w:rPr>
        <w:t>Ответ:</w:t>
      </w:r>
      <w:r>
        <w:rPr>
          <w:rFonts w:ascii="Segoe UI" w:hAnsi="Segoe UI" w:cs="Segoe UI"/>
          <w:sz w:val="28"/>
          <w:szCs w:val="28"/>
        </w:rPr>
        <w:t xml:space="preserve"> Ни Федеральный 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закон</w:t>
      </w:r>
      <w:r>
        <w:rPr>
          <w:rFonts w:ascii="Segoe UI" w:hAnsi="Segoe UI" w:cs="Segoe UI"/>
          <w:sz w:val="28"/>
          <w:szCs w:val="28"/>
        </w:rPr>
        <w:t xml:space="preserve"> "О дополнительных мерах государственной поддержки семей, имеющих детей", ни 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Правила</w:t>
      </w:r>
      <w:r>
        <w:rPr>
          <w:rFonts w:ascii="Segoe UI" w:hAnsi="Segoe UI" w:cs="Segoe UI"/>
          <w:sz w:val="28"/>
          <w:szCs w:val="28"/>
        </w:rPr>
        <w:t xml:space="preserve"> направления средств (части средств) материнского (семейного) капитала на улучшение жилищных условий, утвержденные Постановлением Правительства от 12.12.2007 </w:t>
      </w:r>
      <w:r>
        <w:rPr>
          <w:rFonts w:ascii="Segoe UI" w:hAnsi="Segoe UI" w:cs="Segoe UI"/>
          <w:sz w:val="28"/>
          <w:szCs w:val="28"/>
          <w:lang w:val="en-US"/>
        </w:rPr>
        <w:t>N</w:t>
      </w:r>
      <w:r>
        <w:rPr>
          <w:rFonts w:ascii="Segoe UI" w:hAnsi="Segoe UI" w:cs="Segoe UI"/>
          <w:sz w:val="28"/>
          <w:szCs w:val="28"/>
        </w:rPr>
        <w:t xml:space="preserve"> 862, не содержат каких-либо специальных положений по определению размера доли в праве собственности на приобретенное с использованием средств (части средств) материнского капитала жилое помещение. </w:t>
      </w:r>
      <w:r>
        <w:rPr>
          <w:rFonts w:ascii="Segoe UI" w:hAnsi="Segoe UI" w:cs="Segoe UI"/>
          <w:color w:val="006FB0"/>
          <w:sz w:val="28"/>
          <w:szCs w:val="28"/>
        </w:rPr>
        <w:t>Законом лишь установлено, что доли в праве собственности на жилое помещение, приобретенное с использованием средств материнского капитала, определяются по соглашению.</w:t>
      </w:r>
    </w:p>
    <w:p w:rsidR="00695F08" w:rsidRDefault="00695F08">
      <w:pPr>
        <w:spacing w:after="0"/>
        <w:ind w:firstLine="567"/>
        <w:jc w:val="both"/>
        <w:rPr>
          <w:rFonts w:ascii="Segoe UI" w:hAnsi="Segoe UI" w:cs="Segoe UI"/>
          <w:sz w:val="28"/>
          <w:szCs w:val="28"/>
        </w:rPr>
      </w:pP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 xml:space="preserve">Статьей 245 </w:t>
      </w:r>
      <w:r>
        <w:rPr>
          <w:rFonts w:ascii="Segoe UI" w:hAnsi="Segoe UI" w:cs="Segoe UI"/>
          <w:sz w:val="28"/>
          <w:szCs w:val="28"/>
        </w:rPr>
        <w:t>Гражданского кодекса Российской Федерации определено, что если доли участников долевой собственности не могут быть определены на основании закона и не установлены соглашением всех ее участников, доли считаются равными.</w:t>
      </w:r>
    </w:p>
    <w:p w:rsidR="00695F08" w:rsidRDefault="00695F08">
      <w:pPr>
        <w:spacing w:after="0"/>
        <w:ind w:firstLine="567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Согласно обзору судебной практики Верховного Суда Российской Федерации по делам, связанным с реализацией права на материнский (семейный) капитал от 22.06.2016, определение долей в праве собственности на квартиру должно производиться исходя из равенства долей родителей и детей на средства материнского капитала, потраченные на приобретение этой квартиры, а не на все средства, за счет которых она была приобретена.</w:t>
      </w:r>
    </w:p>
    <w:p w:rsidR="00695F08" w:rsidRDefault="00695F08">
      <w:pPr>
        <w:spacing w:after="0"/>
        <w:ind w:firstLine="567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Вместе с тем, по условиям соглашения размер долей детей в праве собственности на жилое помещение, приобретенное с использованием средств (части средств) материнского капитала, может быть увеличен.</w:t>
      </w:r>
    </w:p>
    <w:p w:rsidR="00695F08" w:rsidRDefault="00695F08">
      <w:pPr>
        <w:spacing w:after="0"/>
        <w:ind w:firstLine="567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В случае, когда соглашением об определении долей в праве собственности на жилое помещение, приобретенное с использованием средств материнского капитала, предполагается уменьшение доли несовершеннолетнего собственника, требуется предоставление предварительного разрешения органа опеки и попечительства, так как данное соглашение повлечет уменьшение имущественных прав несовершеннолетнего лица. В случаях, когда доли в результате соглашения определяются равными, согласие органа опеки и попечительства, не требуется.</w:t>
      </w:r>
    </w:p>
    <w:p w:rsidR="00695F08" w:rsidRDefault="00695F08">
      <w:pPr>
        <w:spacing w:after="0"/>
        <w:ind w:firstLine="567"/>
        <w:jc w:val="both"/>
        <w:rPr>
          <w:rFonts w:ascii="Segoe UI" w:hAnsi="Segoe UI" w:cs="Segoe UI"/>
          <w:sz w:val="28"/>
          <w:szCs w:val="28"/>
        </w:rPr>
      </w:pPr>
    </w:p>
    <w:p w:rsidR="00695F08" w:rsidRDefault="00695F08">
      <w:pPr>
        <w:spacing w:after="0"/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Вопрос: В каком размере подлежит уплата государственной пошлины при регистрации соглашения об определении долей?</w:t>
      </w:r>
    </w:p>
    <w:p w:rsidR="00695F08" w:rsidRDefault="00695F08">
      <w:pPr>
        <w:spacing w:after="0"/>
        <w:jc w:val="both"/>
        <w:rPr>
          <w:rFonts w:ascii="Segoe UI" w:hAnsi="Segoe UI" w:cs="Segoe UI"/>
          <w:color w:val="006FB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Ответ: </w:t>
      </w:r>
      <w:r>
        <w:rPr>
          <w:rFonts w:ascii="Segoe UI" w:hAnsi="Segoe UI" w:cs="Segoe UI"/>
          <w:sz w:val="28"/>
          <w:szCs w:val="28"/>
        </w:rPr>
        <w:t xml:space="preserve">Согласно </w:t>
      </w:r>
      <w:r>
        <w:rPr>
          <w:rStyle w:val="a3"/>
          <w:rFonts w:ascii="Segoe UI" w:hAnsi="Segoe UI" w:cs="Segoe UI"/>
          <w:color w:val="auto"/>
          <w:sz w:val="28"/>
          <w:szCs w:val="28"/>
          <w:u w:val="none"/>
        </w:rPr>
        <w:t>пп. 22 п. 1 ст. 333.33</w:t>
      </w:r>
      <w:r>
        <w:rPr>
          <w:rFonts w:ascii="Segoe UI" w:hAnsi="Segoe UI" w:cs="Segoe UI"/>
          <w:sz w:val="28"/>
          <w:szCs w:val="28"/>
        </w:rPr>
        <w:t xml:space="preserve"> Налогового кодекса Российской Федерации государственная пошлина за государственную регистрацию прав на недвижимое имущество уплачивается физическими лицами в размере 2000 руб.</w:t>
      </w:r>
    </w:p>
    <w:p w:rsidR="00695F08" w:rsidRDefault="00695F08">
      <w:pPr>
        <w:spacing w:after="0"/>
        <w:ind w:firstLine="567"/>
        <w:jc w:val="both"/>
      </w:pPr>
      <w:r>
        <w:rPr>
          <w:rFonts w:ascii="Segoe UI" w:hAnsi="Segoe UI" w:cs="Segoe UI"/>
          <w:color w:val="006FB0"/>
          <w:sz w:val="28"/>
          <w:szCs w:val="28"/>
          <w:shd w:val="clear" w:color="auto" w:fill="FFFFFF"/>
        </w:rPr>
        <w:t>За государственную регистрацию доли в праве общей собственности, возникающем с момента государственной регистрации прав, государственная пошлина уплачивается каждым физическим лицом в размере 2000 руб., умноженных на размер доли в праве собственности.</w:t>
      </w:r>
    </w:p>
    <w:sectPr w:rsidR="00695F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1B3"/>
    <w:rsid w:val="003941B3"/>
    <w:rsid w:val="0054123D"/>
    <w:rsid w:val="0069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Татарникова</cp:lastModifiedBy>
  <cp:revision>2</cp:revision>
  <cp:lastPrinted>2018-05-17T11:04:00Z</cp:lastPrinted>
  <dcterms:created xsi:type="dcterms:W3CDTF">2018-10-08T07:59:00Z</dcterms:created>
  <dcterms:modified xsi:type="dcterms:W3CDTF">2018-10-08T07:59:00Z</dcterms:modified>
</cp:coreProperties>
</file>